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41" w:rsidRDefault="00AC3141" w:rsidP="00AB4942">
      <w:pPr>
        <w:ind w:left="360"/>
        <w:rPr>
          <w:sz w:val="24"/>
        </w:rPr>
      </w:pPr>
      <w:bookmarkStart w:id="0" w:name="_GoBack"/>
      <w:bookmarkEnd w:id="0"/>
    </w:p>
    <w:p w:rsidR="00E45FFC" w:rsidRDefault="00E45FFC" w:rsidP="00E45FFC">
      <w:pPr>
        <w:ind w:left="360"/>
        <w:rPr>
          <w:b/>
          <w:sz w:val="24"/>
        </w:rPr>
      </w:pPr>
      <w:r>
        <w:rPr>
          <w:b/>
          <w:sz w:val="24"/>
        </w:rPr>
        <w:t>2019/2020 Personalised Care Adjustment (Formerly known as Exception Reporting)</w:t>
      </w:r>
    </w:p>
    <w:p w:rsidR="00E45FFC" w:rsidRDefault="00E45FFC" w:rsidP="00AB4942">
      <w:pPr>
        <w:ind w:left="360"/>
        <w:rPr>
          <w:sz w:val="24"/>
        </w:rPr>
      </w:pPr>
    </w:p>
    <w:p w:rsidR="00201603" w:rsidRDefault="00201603" w:rsidP="00201603">
      <w:pPr>
        <w:ind w:left="360"/>
        <w:rPr>
          <w:sz w:val="24"/>
        </w:rPr>
      </w:pPr>
      <w:r>
        <w:rPr>
          <w:sz w:val="24"/>
        </w:rPr>
        <w:t>Criteria in simplified format</w:t>
      </w:r>
    </w:p>
    <w:p w:rsidR="00AB4942" w:rsidRDefault="00AB4942" w:rsidP="00AB4942">
      <w:pPr>
        <w:ind w:left="360"/>
        <w:rPr>
          <w:sz w:val="24"/>
        </w:rPr>
      </w:pPr>
    </w:p>
    <w:p w:rsidR="008E2A51" w:rsidRPr="00AB4942" w:rsidRDefault="00201603" w:rsidP="00AB4942">
      <w:pPr>
        <w:ind w:left="360"/>
        <w:rPr>
          <w:sz w:val="24"/>
        </w:rPr>
      </w:pPr>
      <w:r>
        <w:rPr>
          <w:sz w:val="24"/>
        </w:rPr>
        <w:t>There are six areas of Criteria as shown below:</w:t>
      </w:r>
      <w:r w:rsidR="00AB4942">
        <w:rPr>
          <w:sz w:val="24"/>
        </w:rPr>
        <w:t xml:space="preserve"> </w:t>
      </w:r>
    </w:p>
    <w:p w:rsidR="008E2A51" w:rsidRDefault="008E2A51" w:rsidP="008E2A51">
      <w:pPr>
        <w:ind w:left="360"/>
        <w:rPr>
          <w:b/>
          <w:sz w:val="24"/>
        </w:rPr>
      </w:pPr>
    </w:p>
    <w:p w:rsidR="008572CF" w:rsidRDefault="008572CF" w:rsidP="008E2A51">
      <w:pPr>
        <w:pStyle w:val="ListParagraph"/>
        <w:numPr>
          <w:ilvl w:val="0"/>
          <w:numId w:val="10"/>
        </w:numPr>
        <w:rPr>
          <w:b/>
          <w:sz w:val="24"/>
        </w:rPr>
      </w:pPr>
      <w:r w:rsidRPr="008E2A51">
        <w:rPr>
          <w:b/>
          <w:sz w:val="24"/>
        </w:rPr>
        <w:t>The Investigative Service or Secondary Care Service is unavailable</w:t>
      </w:r>
    </w:p>
    <w:p w:rsidR="008B0DEE" w:rsidRDefault="008B0DEE" w:rsidP="008B0DEE">
      <w:pPr>
        <w:rPr>
          <w:b/>
          <w:sz w:val="24"/>
        </w:rPr>
      </w:pPr>
    </w:p>
    <w:p w:rsidR="008B0DEE" w:rsidRPr="008B0DEE" w:rsidRDefault="008B0DEE" w:rsidP="008B0DEE">
      <w:pPr>
        <w:rPr>
          <w:b/>
        </w:rPr>
      </w:pPr>
      <w:r w:rsidRPr="008B0DEE">
        <w:rPr>
          <w:b/>
        </w:rPr>
        <w:t xml:space="preserve">Where a service is unavailable you should record this using specific codes which state that the service is completely unavailable after researching with the CCG to establish whether any </w:t>
      </w:r>
      <w:r w:rsidR="00FB5EDC">
        <w:rPr>
          <w:b/>
        </w:rPr>
        <w:t>suitable services are available – practices will need to co-ordinate with the CCG or IT in order to establish these</w:t>
      </w:r>
    </w:p>
    <w:p w:rsidR="008572CF" w:rsidRDefault="008572CF" w:rsidP="008572CF"/>
    <w:p w:rsidR="00FD19B2" w:rsidRDefault="008572CF" w:rsidP="008572CF">
      <w:r w:rsidRPr="008572CF">
        <w:t>HF002. The percentage of patients with a diagnosis of heart failure (diagnosed on or after 1 April 2006) which has been confirmed by an echocardiogram or by specialist assessment 3 months before or 12 months after entering on to the register NICE 2015 menu ID: NM116</w:t>
      </w:r>
    </w:p>
    <w:p w:rsidR="008572CF" w:rsidRDefault="008572CF" w:rsidP="008572CF"/>
    <w:p w:rsidR="008572CF" w:rsidRPr="00EE17F9" w:rsidRDefault="00201603" w:rsidP="008572CF">
      <w:pPr>
        <w:rPr>
          <w:b/>
        </w:rPr>
      </w:pPr>
      <w:r w:rsidRPr="00EE17F9">
        <w:rPr>
          <w:b/>
        </w:rPr>
        <w:t>Business Rule</w:t>
      </w:r>
    </w:p>
    <w:p w:rsidR="00201603" w:rsidRDefault="00201603" w:rsidP="008572CF"/>
    <w:tbl>
      <w:tblPr>
        <w:tblW w:w="14204" w:type="dxa"/>
        <w:tblInd w:w="108" w:type="dxa"/>
        <w:tblCellMar>
          <w:top w:w="85" w:type="dxa"/>
          <w:bottom w:w="85" w:type="dxa"/>
        </w:tblCellMar>
        <w:tblLook w:val="04A0" w:firstRow="1" w:lastRow="0" w:firstColumn="1" w:lastColumn="0" w:noHBand="0" w:noVBand="1"/>
      </w:tblPr>
      <w:tblGrid>
        <w:gridCol w:w="2731"/>
        <w:gridCol w:w="2444"/>
        <w:gridCol w:w="3540"/>
        <w:gridCol w:w="5489"/>
      </w:tblGrid>
      <w:tr w:rsidR="00010AC7" w:rsidRPr="000C07C2" w:rsidTr="00D4638B">
        <w:trPr>
          <w:cantSplit/>
          <w:trHeight w:val="454"/>
        </w:trPr>
        <w:tc>
          <w:tcPr>
            <w:tcW w:w="25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10AC7" w:rsidRPr="004C0228" w:rsidRDefault="00010AC7" w:rsidP="00D4638B">
            <w:pPr>
              <w:pStyle w:val="Heading5"/>
              <w:keepNext w:val="0"/>
              <w:rPr>
                <w:b w:val="0"/>
                <w:color w:val="auto"/>
              </w:rPr>
            </w:pPr>
            <w:r w:rsidRPr="004C0228">
              <w:rPr>
                <w:b w:val="0"/>
                <w:color w:val="auto"/>
              </w:rPr>
              <w:t>ECOG_DAT</w:t>
            </w:r>
          </w:p>
        </w:tc>
        <w:tc>
          <w:tcPr>
            <w:tcW w:w="226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10AC7" w:rsidRPr="004C0228" w:rsidRDefault="00E45FFC" w:rsidP="00D4638B">
            <w:pPr>
              <w:rPr>
                <w:rFonts w:cs="Arial"/>
                <w:color w:val="000000"/>
                <w:szCs w:val="20"/>
                <w:lang w:eastAsia="en-GB"/>
              </w:rPr>
            </w:pPr>
            <w:hyperlink w:anchor="_CHD_COD" w:history="1">
              <w:r w:rsidR="00010AC7" w:rsidRPr="004C0228">
                <w:rPr>
                  <w:rStyle w:val="Hyperlink"/>
                  <w:rFonts w:cs="Arial"/>
                  <w:szCs w:val="20"/>
                  <w:lang w:eastAsia="en-GB"/>
                </w:rPr>
                <w:t>ECOG_COD</w:t>
              </w:r>
            </w:hyperlink>
          </w:p>
        </w:tc>
        <w:tc>
          <w:tcPr>
            <w:tcW w:w="3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010AC7" w:rsidRPr="004C0228" w:rsidRDefault="00010AC7" w:rsidP="00D4638B">
            <w:pPr>
              <w:rPr>
                <w:rStyle w:val="Hyperlink"/>
                <w:rFonts w:cs="Arial"/>
                <w:szCs w:val="20"/>
                <w:lang w:eastAsia="en-GB"/>
              </w:rPr>
            </w:pPr>
            <w:r w:rsidRPr="004C0228">
              <w:rPr>
                <w:rFonts w:cs="Arial"/>
                <w:color w:val="000000"/>
                <w:szCs w:val="20"/>
                <w:lang w:eastAsia="en-GB"/>
              </w:rPr>
              <w:t xml:space="preserve">Earliest &lt;= </w:t>
            </w:r>
            <w:hyperlink w:anchor="_Achievement_Date_(ACHV_DAT)_2" w:history="1">
              <w:r w:rsidRPr="004C0228">
                <w:rPr>
                  <w:rStyle w:val="Hyperlink"/>
                  <w:rFonts w:cs="Arial"/>
                  <w:szCs w:val="20"/>
                  <w:lang w:eastAsia="en-GB"/>
                </w:rPr>
                <w:t>ACHV_DAT</w:t>
              </w:r>
            </w:hyperlink>
            <w:r w:rsidRPr="004C0228">
              <w:rPr>
                <w:rStyle w:val="Hyperlink"/>
                <w:rFonts w:cs="Arial"/>
                <w:szCs w:val="20"/>
                <w:lang w:eastAsia="en-GB"/>
              </w:rPr>
              <w:t xml:space="preserve"> </w:t>
            </w:r>
          </w:p>
          <w:p w:rsidR="00010AC7" w:rsidRPr="004C0228" w:rsidRDefault="00010AC7" w:rsidP="00D4638B">
            <w:pPr>
              <w:rPr>
                <w:rFonts w:cs="Arial"/>
                <w:color w:val="000000"/>
                <w:szCs w:val="20"/>
                <w:lang w:eastAsia="en-GB"/>
              </w:rPr>
            </w:pPr>
            <w:r w:rsidRPr="004C0228">
              <w:rPr>
                <w:rFonts w:cs="Arial"/>
                <w:color w:val="000000"/>
                <w:szCs w:val="20"/>
                <w:lang w:eastAsia="en-GB"/>
              </w:rPr>
              <w:t>AND &gt;= (</w:t>
            </w:r>
            <w:hyperlink w:anchor="_HF_DAT" w:history="1">
              <w:r w:rsidRPr="004C0228">
                <w:rPr>
                  <w:rStyle w:val="Hyperlink"/>
                  <w:rFonts w:cs="Arial"/>
                  <w:szCs w:val="20"/>
                  <w:lang w:eastAsia="en-GB"/>
                </w:rPr>
                <w:t>HF_DAT</w:t>
              </w:r>
            </w:hyperlink>
            <w:r w:rsidRPr="004C0228">
              <w:rPr>
                <w:rFonts w:cs="Arial"/>
                <w:color w:val="000000"/>
                <w:szCs w:val="20"/>
                <w:lang w:eastAsia="en-GB"/>
              </w:rPr>
              <w:t xml:space="preserve"> – 93 days)</w:t>
            </w:r>
          </w:p>
        </w:tc>
        <w:tc>
          <w:tcPr>
            <w:tcW w:w="5088"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rsidR="00010AC7" w:rsidRPr="000C07C2" w:rsidRDefault="00010AC7" w:rsidP="00D4638B">
            <w:pPr>
              <w:rPr>
                <w:rFonts w:cs="Arial"/>
                <w:i/>
                <w:iCs/>
                <w:color w:val="000000"/>
                <w:szCs w:val="20"/>
                <w:lang w:eastAsia="en-GB"/>
              </w:rPr>
            </w:pPr>
            <w:r>
              <w:rPr>
                <w:rFonts w:cs="Arial"/>
                <w:i/>
                <w:iCs/>
                <w:color w:val="000000"/>
                <w:szCs w:val="20"/>
                <w:lang w:eastAsia="en-GB"/>
              </w:rPr>
              <w:t xml:space="preserve">Date of the first </w:t>
            </w:r>
            <w:r w:rsidRPr="00734663">
              <w:rPr>
                <w:rFonts w:cs="Arial"/>
                <w:i/>
                <w:iCs/>
                <w:color w:val="000000"/>
                <w:szCs w:val="20"/>
                <w:lang w:eastAsia="en-GB"/>
              </w:rPr>
              <w:t>echocardiogram</w:t>
            </w:r>
            <w:r>
              <w:rPr>
                <w:rFonts w:cs="Arial"/>
                <w:i/>
                <w:iCs/>
                <w:color w:val="000000"/>
                <w:szCs w:val="20"/>
                <w:lang w:eastAsia="en-GB"/>
              </w:rPr>
              <w:t xml:space="preserve"> code recorded at any point within the period from 93 days before the patient’s heart failure diagnosis up to and including the achievement date.</w:t>
            </w:r>
          </w:p>
        </w:tc>
      </w:tr>
    </w:tbl>
    <w:p w:rsidR="00201603" w:rsidRDefault="00201603" w:rsidP="008572CF"/>
    <w:p w:rsidR="00201603" w:rsidRDefault="00201603" w:rsidP="008572CF"/>
    <w:p w:rsidR="008572CF" w:rsidRDefault="008572CF" w:rsidP="008572CF"/>
    <w:p w:rsidR="008572CF" w:rsidRDefault="008572CF" w:rsidP="008572CF">
      <w:r w:rsidRPr="008572CF">
        <w:t>AST002. The percentage of patients aged 8 or over with asthma (diagnosed on or after 1 April 2006), on the register, with measures of variability or reversibility recorded between 3 months before or any time after diagnosis NICE 2015 menu ID: NM101</w:t>
      </w:r>
    </w:p>
    <w:p w:rsidR="008572CF" w:rsidRDefault="008572CF" w:rsidP="008572CF"/>
    <w:p w:rsidR="008572CF" w:rsidRPr="00EE17F9" w:rsidRDefault="00010AC7" w:rsidP="008572CF">
      <w:pPr>
        <w:rPr>
          <w:b/>
        </w:rPr>
      </w:pPr>
      <w:r w:rsidRPr="00EE17F9">
        <w:rPr>
          <w:b/>
        </w:rPr>
        <w:t>Business Rule</w:t>
      </w:r>
    </w:p>
    <w:p w:rsidR="00010AC7" w:rsidRDefault="00010AC7" w:rsidP="008572CF"/>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1548"/>
        <w:gridCol w:w="1549"/>
        <w:gridCol w:w="6656"/>
      </w:tblGrid>
      <w:tr w:rsidR="00010AC7" w:rsidTr="00D4638B">
        <w:trPr>
          <w:cantSplit/>
          <w:trHeight w:val="454"/>
        </w:trPr>
        <w:tc>
          <w:tcPr>
            <w:tcW w:w="4175" w:type="dxa"/>
            <w:tcMar>
              <w:top w:w="57" w:type="dxa"/>
              <w:bottom w:w="57" w:type="dxa"/>
            </w:tcMar>
            <w:vAlign w:val="center"/>
          </w:tcPr>
          <w:p w:rsidR="00010AC7" w:rsidRDefault="00010AC7" w:rsidP="00D4638B">
            <w:pPr>
              <w:rPr>
                <w:rFonts w:cs="Tahoma"/>
              </w:rPr>
            </w:pPr>
            <w:r w:rsidRPr="00A64B9A">
              <w:rPr>
                <w:rFonts w:cs="Tahoma"/>
              </w:rPr>
              <w:t xml:space="preserve">If </w:t>
            </w:r>
            <w:hyperlink w:anchor="_AST_DAT" w:history="1">
              <w:r w:rsidRPr="00A64B9A">
                <w:rPr>
                  <w:rStyle w:val="Hyperlink"/>
                  <w:rFonts w:cs="Tahoma"/>
                </w:rPr>
                <w:t>AST_DAT</w:t>
              </w:r>
            </w:hyperlink>
            <w:r w:rsidRPr="00A64B9A">
              <w:rPr>
                <w:rFonts w:cs="Tahoma"/>
              </w:rPr>
              <w:t xml:space="preserve"> &gt;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3 months</w:t>
            </w:r>
            <w:r w:rsidRPr="00A64B9A">
              <w:rPr>
                <w:rFonts w:cs="Tahoma"/>
              </w:rPr>
              <w:t>)</w:t>
            </w:r>
          </w:p>
        </w:tc>
        <w:sdt>
          <w:sdtPr>
            <w:rPr>
              <w:rFonts w:cs="Arial"/>
              <w:szCs w:val="20"/>
            </w:rPr>
            <w:id w:val="745930908"/>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rsidR="00010AC7" w:rsidRDefault="00010AC7" w:rsidP="00D4638B">
                <w:pPr>
                  <w:jc w:val="center"/>
                  <w:rPr>
                    <w:rFonts w:cs="Arial"/>
                    <w:szCs w:val="20"/>
                  </w:rPr>
                </w:pPr>
                <w:r w:rsidRPr="00A64B9A">
                  <w:rPr>
                    <w:rFonts w:cs="Arial"/>
                    <w:szCs w:val="20"/>
                  </w:rPr>
                  <w:t>Reject</w:t>
                </w:r>
              </w:p>
            </w:tc>
          </w:sdtContent>
        </w:sdt>
        <w:sdt>
          <w:sdtPr>
            <w:rPr>
              <w:rFonts w:cs="Arial"/>
              <w:szCs w:val="20"/>
            </w:rPr>
            <w:id w:val="-1958860932"/>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rsidR="00010AC7" w:rsidRDefault="00010AC7" w:rsidP="00D4638B">
                <w:pPr>
                  <w:jc w:val="center"/>
                  <w:rPr>
                    <w:rFonts w:cs="Arial"/>
                    <w:szCs w:val="20"/>
                  </w:rPr>
                </w:pPr>
                <w:r>
                  <w:rPr>
                    <w:rFonts w:cs="Arial"/>
                    <w:szCs w:val="20"/>
                  </w:rPr>
                  <w:t>Next rule</w:t>
                </w:r>
              </w:p>
            </w:tc>
          </w:sdtContent>
        </w:sdt>
        <w:tc>
          <w:tcPr>
            <w:tcW w:w="6095" w:type="dxa"/>
            <w:shd w:val="clear" w:color="auto" w:fill="D9ECF6"/>
            <w:tcMar>
              <w:top w:w="57" w:type="dxa"/>
              <w:bottom w:w="57" w:type="dxa"/>
            </w:tcMar>
            <w:vAlign w:val="center"/>
          </w:tcPr>
          <w:p w:rsidR="00010AC7" w:rsidRDefault="00E45FFC" w:rsidP="00D4638B">
            <w:pPr>
              <w:rPr>
                <w:rFonts w:cs="Arial"/>
                <w:szCs w:val="20"/>
              </w:rPr>
            </w:pPr>
            <w:sdt>
              <w:sdtPr>
                <w:rPr>
                  <w:rFonts w:cs="Arial"/>
                  <w:szCs w:val="20"/>
                </w:rPr>
                <w:alias w:val="Action"/>
                <w:tag w:val="Action"/>
                <w:id w:val="1366256721"/>
                <w:comboBox>
                  <w:listItem w:value="Choose an item."/>
                  <w:listItem w:displayText="Select" w:value="Select"/>
                  <w:listItem w:displayText="Reject" w:value="Reject"/>
                  <w:listItem w:displayText="Pass to the next rule all" w:value="Pass to the next rule all"/>
                </w:comboBox>
              </w:sdtPr>
              <w:sdtEndPr/>
              <w:sdtContent>
                <w:r w:rsidR="00010AC7" w:rsidRPr="00A64B9A">
                  <w:rPr>
                    <w:rFonts w:cs="Arial"/>
                    <w:szCs w:val="20"/>
                  </w:rPr>
                  <w:t>Reject</w:t>
                </w:r>
              </w:sdtContent>
            </w:sdt>
            <w:r w:rsidR="00010AC7" w:rsidRPr="00A64B9A">
              <w:rPr>
                <w:rFonts w:cs="Arial"/>
                <w:szCs w:val="20"/>
              </w:rPr>
              <w:t xml:space="preserve"> patients passed to this rule who </w:t>
            </w:r>
            <w:r w:rsidR="00010AC7">
              <w:rPr>
                <w:rFonts w:cs="Arial"/>
                <w:szCs w:val="20"/>
              </w:rPr>
              <w:t xml:space="preserve">were </w:t>
            </w:r>
            <w:r w:rsidR="00010AC7" w:rsidRPr="00A64B9A">
              <w:rPr>
                <w:rFonts w:cs="Arial"/>
                <w:color w:val="000000"/>
                <w:szCs w:val="20"/>
              </w:rPr>
              <w:t>recently diagnosed (</w:t>
            </w:r>
            <w:r w:rsidR="00010AC7">
              <w:rPr>
                <w:rFonts w:cs="Arial"/>
                <w:color w:val="000000"/>
                <w:szCs w:val="20"/>
              </w:rPr>
              <w:t>f</w:t>
            </w:r>
            <w:r w:rsidR="00010AC7" w:rsidRPr="00A64B9A">
              <w:rPr>
                <w:rFonts w:cs="Arial"/>
                <w:color w:val="000000"/>
                <w:szCs w:val="20"/>
              </w:rPr>
              <w:t>irst asthma diagnosis recorded in the 3 month</w:t>
            </w:r>
            <w:r w:rsidR="00010AC7">
              <w:rPr>
                <w:rFonts w:cs="Arial"/>
                <w:color w:val="000000"/>
                <w:szCs w:val="20"/>
              </w:rPr>
              <w:t xml:space="preserve"> period</w:t>
            </w:r>
            <w:r w:rsidR="00010AC7" w:rsidRPr="00A64B9A">
              <w:rPr>
                <w:rFonts w:cs="Arial"/>
                <w:color w:val="000000"/>
                <w:szCs w:val="20"/>
              </w:rPr>
              <w:t xml:space="preserve"> leading </w:t>
            </w:r>
            <w:r w:rsidR="00010AC7">
              <w:rPr>
                <w:rFonts w:cs="Arial"/>
                <w:color w:val="000000"/>
                <w:szCs w:val="20"/>
              </w:rPr>
              <w:t>up to and including the</w:t>
            </w:r>
            <w:r w:rsidR="00010AC7" w:rsidRPr="00A64B9A">
              <w:rPr>
                <w:rFonts w:cs="Arial"/>
                <w:color w:val="000000"/>
                <w:szCs w:val="20"/>
              </w:rPr>
              <w:t xml:space="preserve"> payment period end date)</w:t>
            </w:r>
            <w:r w:rsidR="00010AC7">
              <w:rPr>
                <w:rFonts w:cs="Arial"/>
                <w:color w:val="000000"/>
                <w:szCs w:val="20"/>
              </w:rPr>
              <w:t xml:space="preserve">. </w:t>
            </w:r>
            <w:sdt>
              <w:sdtPr>
                <w:rPr>
                  <w:rFonts w:cs="Arial"/>
                  <w:szCs w:val="20"/>
                </w:rPr>
                <w:alias w:val="Action"/>
                <w:tag w:val="Action"/>
                <w:id w:val="-13044569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10AC7">
                  <w:rPr>
                    <w:rFonts w:cs="Arial"/>
                    <w:szCs w:val="20"/>
                  </w:rPr>
                  <w:t>Pass all remaining patients to the next rule.</w:t>
                </w:r>
              </w:sdtContent>
            </w:sdt>
          </w:p>
        </w:tc>
      </w:tr>
    </w:tbl>
    <w:p w:rsidR="00010AC7" w:rsidRDefault="00010AC7" w:rsidP="008572CF"/>
    <w:p w:rsidR="008572CF" w:rsidRDefault="008572CF" w:rsidP="008572CF"/>
    <w:p w:rsidR="008B0DEE" w:rsidRDefault="008B0DEE" w:rsidP="008572CF"/>
    <w:p w:rsidR="00EE17F9" w:rsidRDefault="00EE17F9" w:rsidP="008572CF"/>
    <w:p w:rsidR="00EE17F9" w:rsidRDefault="00EE17F9" w:rsidP="008572CF"/>
    <w:p w:rsidR="00EE17F9" w:rsidRDefault="00EE17F9" w:rsidP="008572CF"/>
    <w:p w:rsidR="008B0DEE" w:rsidRDefault="008B0DEE" w:rsidP="008572CF"/>
    <w:p w:rsidR="008572CF" w:rsidRDefault="008572CF" w:rsidP="008572CF">
      <w:r>
        <w:t xml:space="preserve">COPD002. The percentage of patients with COPD (diagnosed on or after 1 April 2011) in whom the diagnosis has been confirmed by post bronchodilator spirometry between 3 months before and 12 months after entering on to the register NICE 2015 menu ID: NM103 </w:t>
      </w:r>
    </w:p>
    <w:p w:rsidR="008572CF" w:rsidRDefault="008572CF" w:rsidP="008572CF"/>
    <w:p w:rsidR="008572CF" w:rsidRPr="00EE17F9" w:rsidRDefault="00010AC7" w:rsidP="008572CF">
      <w:pPr>
        <w:rPr>
          <w:b/>
        </w:rPr>
      </w:pPr>
      <w:r w:rsidRPr="00EE17F9">
        <w:rPr>
          <w:b/>
        </w:rPr>
        <w:t>Business Rule</w:t>
      </w:r>
    </w:p>
    <w:p w:rsidR="00010AC7" w:rsidRDefault="00010AC7" w:rsidP="008572CF"/>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1524"/>
        <w:gridCol w:w="1523"/>
        <w:gridCol w:w="5789"/>
      </w:tblGrid>
      <w:tr w:rsidR="008B0DEE" w:rsidRPr="000C07C2" w:rsidTr="00D4638B">
        <w:trPr>
          <w:trHeight w:val="1449"/>
        </w:trPr>
        <w:tc>
          <w:tcPr>
            <w:tcW w:w="4806" w:type="dxa"/>
            <w:tcMar>
              <w:top w:w="57" w:type="dxa"/>
              <w:bottom w:w="57" w:type="dxa"/>
            </w:tcMar>
            <w:vAlign w:val="center"/>
          </w:tcPr>
          <w:p w:rsidR="008B0DEE" w:rsidRPr="00A341ED" w:rsidRDefault="008B0DEE" w:rsidP="00D4638B">
            <w:pPr>
              <w:rPr>
                <w:rFonts w:cs="Tahoma"/>
              </w:rPr>
            </w:pPr>
            <w:r w:rsidRPr="00A341ED">
              <w:rPr>
                <w:rFonts w:cs="Tahoma"/>
              </w:rPr>
              <w:t xml:space="preserve">If </w:t>
            </w:r>
            <w:hyperlink w:anchor="_COPDSPIR_DAT" w:history="1">
              <w:r>
                <w:rPr>
                  <w:rStyle w:val="Hyperlink"/>
                  <w:rFonts w:cs="Tahoma"/>
                </w:rPr>
                <w:t>COPDSPIR_DAT</w:t>
              </w:r>
            </w:hyperlink>
            <w:r w:rsidRPr="00A341ED">
              <w:rPr>
                <w:rFonts w:cs="Tahoma"/>
              </w:rPr>
              <w:t xml:space="preserve"> &gt;= (</w:t>
            </w:r>
            <w:hyperlink w:anchor="_COPD_DAT_1" w:history="1">
              <w:r>
                <w:rPr>
                  <w:rStyle w:val="Hyperlink"/>
                  <w:rFonts w:cs="Tahoma"/>
                </w:rPr>
                <w:t>COPD_DAT</w:t>
              </w:r>
            </w:hyperlink>
            <w:r w:rsidRPr="00A341ED">
              <w:rPr>
                <w:rFonts w:cs="Tahoma"/>
              </w:rPr>
              <w:t xml:space="preserve"> – </w:t>
            </w:r>
            <w:r>
              <w:rPr>
                <w:rFonts w:cs="Tahoma"/>
              </w:rPr>
              <w:t>93 days</w:t>
            </w:r>
            <w:r w:rsidRPr="00A341ED">
              <w:rPr>
                <w:rFonts w:cs="Tahoma"/>
              </w:rPr>
              <w:t>) AND</w:t>
            </w:r>
          </w:p>
          <w:p w:rsidR="008B0DEE" w:rsidRPr="000C07C2" w:rsidRDefault="008B0DEE" w:rsidP="00D4638B">
            <w:pPr>
              <w:rPr>
                <w:rFonts w:cs="Arial"/>
                <w:szCs w:val="20"/>
              </w:rPr>
            </w:pPr>
            <w:r w:rsidRPr="00A341ED">
              <w:rPr>
                <w:rFonts w:cs="Tahoma"/>
              </w:rPr>
              <w:t xml:space="preserve">If </w:t>
            </w:r>
            <w:hyperlink w:anchor="_COPDSPIR_DAT" w:history="1">
              <w:r>
                <w:rPr>
                  <w:rStyle w:val="Hyperlink"/>
                  <w:rFonts w:cs="Tahoma"/>
                </w:rPr>
                <w:t>COPDSPIR_DAT</w:t>
              </w:r>
            </w:hyperlink>
            <w:r w:rsidRPr="00A341ED">
              <w:rPr>
                <w:rFonts w:cs="Tahoma"/>
              </w:rPr>
              <w:t xml:space="preserve"> &lt;= (</w:t>
            </w:r>
            <w:hyperlink w:anchor="_COPD_DAT_1" w:history="1">
              <w:r>
                <w:rPr>
                  <w:rStyle w:val="Hyperlink"/>
                  <w:rFonts w:cs="Tahoma"/>
                </w:rPr>
                <w:t>COPD_DAT</w:t>
              </w:r>
            </w:hyperlink>
            <w:r w:rsidRPr="00A341ED">
              <w:rPr>
                <w:rFonts w:cs="Tahoma"/>
              </w:rPr>
              <w:t xml:space="preserve"> + </w:t>
            </w:r>
            <w:r>
              <w:rPr>
                <w:rFonts w:cs="Tahoma"/>
              </w:rPr>
              <w:t>1 year</w:t>
            </w:r>
            <w:r w:rsidRPr="00A341ED">
              <w:rPr>
                <w:rFonts w:cs="Tahoma"/>
              </w:rPr>
              <w:t>)</w:t>
            </w:r>
          </w:p>
        </w:tc>
        <w:sdt>
          <w:sdtPr>
            <w:rPr>
              <w:rFonts w:cs="Arial"/>
              <w:szCs w:val="20"/>
            </w:rPr>
            <w:id w:val="-1824185772"/>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rsidR="008B0DEE" w:rsidRPr="000C07C2" w:rsidRDefault="008B0DEE" w:rsidP="00D4638B">
                <w:pPr>
                  <w:jc w:val="center"/>
                  <w:rPr>
                    <w:rFonts w:cs="Arial"/>
                    <w:szCs w:val="20"/>
                  </w:rPr>
                </w:pPr>
                <w:r>
                  <w:rPr>
                    <w:rFonts w:cs="Arial"/>
                    <w:szCs w:val="20"/>
                  </w:rPr>
                  <w:t>Select</w:t>
                </w:r>
              </w:p>
            </w:tc>
          </w:sdtContent>
        </w:sdt>
        <w:sdt>
          <w:sdtPr>
            <w:rPr>
              <w:rFonts w:cs="Arial"/>
              <w:szCs w:val="20"/>
            </w:rPr>
            <w:id w:val="766036095"/>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rsidR="008B0DEE" w:rsidRPr="000C07C2" w:rsidRDefault="008B0DEE" w:rsidP="00D4638B">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rsidR="008B0DEE" w:rsidRPr="000C07C2" w:rsidRDefault="00E45FFC" w:rsidP="00D4638B">
            <w:pPr>
              <w:rPr>
                <w:rFonts w:cs="Arial"/>
                <w:color w:val="000000"/>
                <w:szCs w:val="20"/>
              </w:rPr>
            </w:pPr>
            <w:sdt>
              <w:sdtPr>
                <w:rPr>
                  <w:rFonts w:cs="Arial"/>
                  <w:szCs w:val="20"/>
                </w:rPr>
                <w:alias w:val="Action"/>
                <w:tag w:val="Action"/>
                <w:id w:val="-369768272"/>
                <w:comboBox>
                  <w:listItem w:value="Choose an item."/>
                  <w:listItem w:displayText="Select" w:value="Select"/>
                  <w:listItem w:displayText="Reject" w:value="Reject"/>
                  <w:listItem w:displayText="Pass to the next rule all" w:value="Pass to the next rule all"/>
                </w:comboBox>
              </w:sdtPr>
              <w:sdtEndPr/>
              <w:sdtContent>
                <w:r w:rsidR="008B0DEE">
                  <w:rPr>
                    <w:rFonts w:cs="Arial"/>
                    <w:szCs w:val="20"/>
                  </w:rPr>
                  <w:t>Select</w:t>
                </w:r>
              </w:sdtContent>
            </w:sdt>
            <w:r w:rsidR="008B0DEE">
              <w:rPr>
                <w:rFonts w:cs="Arial"/>
                <w:szCs w:val="20"/>
              </w:rPr>
              <w:t xml:space="preserve"> patients from the denominator </w:t>
            </w:r>
            <w:r w:rsidR="008B0DEE" w:rsidRPr="003F161E">
              <w:rPr>
                <w:rFonts w:cs="Arial"/>
                <w:szCs w:val="20"/>
              </w:rPr>
              <w:t xml:space="preserve">who had spirometry for COPD any time from 3 months (93 days) before their COPD diagnosis </w:t>
            </w:r>
            <w:r w:rsidR="008B0DEE">
              <w:rPr>
                <w:rFonts w:cs="Arial"/>
                <w:szCs w:val="20"/>
              </w:rPr>
              <w:t>up to and including</w:t>
            </w:r>
            <w:r w:rsidR="008B0DEE" w:rsidRPr="003F161E">
              <w:rPr>
                <w:rFonts w:cs="Arial"/>
                <w:szCs w:val="20"/>
              </w:rPr>
              <w:t xml:space="preserve"> 1 year following diagnosis. </w:t>
            </w:r>
            <w:sdt>
              <w:sdtPr>
                <w:rPr>
                  <w:rFonts w:cs="Arial"/>
                  <w:szCs w:val="20"/>
                </w:rPr>
                <w:alias w:val="Action"/>
                <w:tag w:val="Action"/>
                <w:id w:val="-17563473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8B0DEE">
                  <w:rPr>
                    <w:rFonts w:cs="Arial"/>
                    <w:szCs w:val="20"/>
                  </w:rPr>
                  <w:t>Reject the remaining patients.</w:t>
                </w:r>
              </w:sdtContent>
            </w:sdt>
          </w:p>
        </w:tc>
      </w:tr>
    </w:tbl>
    <w:p w:rsidR="008B0DEE" w:rsidRDefault="008B0DEE" w:rsidP="008572CF"/>
    <w:p w:rsidR="008B0DEE" w:rsidRDefault="008B0DEE" w:rsidP="008572CF"/>
    <w:p w:rsidR="008572CF" w:rsidRDefault="008572CF" w:rsidP="008572CF">
      <w:r>
        <w:t>COPD008. The percentage of patients with COPD and Medical Research Council (MRC) dyspnoea scale ≥3 at any time in the preceding 12 months, with a subsequent record of an offer of referral to a pulmonary rehabilitation programme (excluding those who have previously attended a pulmonary rehabilitation programme) NICE 2012 menu ID: NM47</w:t>
      </w:r>
    </w:p>
    <w:p w:rsidR="008572CF" w:rsidRDefault="008572CF" w:rsidP="008572CF"/>
    <w:p w:rsidR="008572CF" w:rsidRPr="00EE17F9" w:rsidRDefault="008B0DEE" w:rsidP="008572CF">
      <w:pPr>
        <w:rPr>
          <w:b/>
        </w:rPr>
      </w:pPr>
      <w:r w:rsidRPr="00EE17F9">
        <w:rPr>
          <w:b/>
        </w:rPr>
        <w:t>Business Rule</w:t>
      </w:r>
    </w:p>
    <w:p w:rsidR="008B0DEE" w:rsidRDefault="008B0DEE" w:rsidP="008572CF"/>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1524"/>
        <w:gridCol w:w="1523"/>
        <w:gridCol w:w="5789"/>
      </w:tblGrid>
      <w:tr w:rsidR="00507F9E" w:rsidTr="00D4638B">
        <w:trPr>
          <w:trHeight w:val="454"/>
        </w:trPr>
        <w:tc>
          <w:tcPr>
            <w:tcW w:w="4804" w:type="dxa"/>
            <w:tcMar>
              <w:top w:w="57" w:type="dxa"/>
              <w:bottom w:w="57" w:type="dxa"/>
            </w:tcMar>
            <w:vAlign w:val="center"/>
          </w:tcPr>
          <w:p w:rsidR="00507F9E" w:rsidRDefault="00507F9E" w:rsidP="00D4638B">
            <w:pPr>
              <w:rPr>
                <w:rStyle w:val="Hyperlink"/>
                <w:rFonts w:cs="Tahoma"/>
                <w:szCs w:val="20"/>
              </w:rPr>
            </w:pPr>
            <w:r>
              <w:rPr>
                <w:rFonts w:cs="Tahoma"/>
                <w:szCs w:val="20"/>
              </w:rPr>
              <w:t xml:space="preserve">If </w:t>
            </w:r>
            <w:hyperlink w:anchor="_PULRHBOFF_DAT" w:history="1">
              <w:r w:rsidRPr="001256EF">
                <w:rPr>
                  <w:rStyle w:val="Hyperlink"/>
                  <w:rFonts w:cs="Tahoma"/>
                  <w:szCs w:val="20"/>
                </w:rPr>
                <w:t>PULRHBOFF_DAT</w:t>
              </w:r>
            </w:hyperlink>
            <w:r>
              <w:rPr>
                <w:rFonts w:cs="Tahoma"/>
                <w:szCs w:val="20"/>
              </w:rPr>
              <w:t xml:space="preserve"> &gt;= </w:t>
            </w:r>
            <w:hyperlink w:anchor="_MRC1_DAT" w:history="1">
              <w:r w:rsidRPr="00432883">
                <w:rPr>
                  <w:rStyle w:val="Hyperlink"/>
                  <w:rFonts w:cs="Tahoma"/>
                  <w:szCs w:val="20"/>
                </w:rPr>
                <w:t>MRC</w:t>
              </w:r>
              <w:r>
                <w:rPr>
                  <w:rStyle w:val="Hyperlink"/>
                  <w:rFonts w:cs="Tahoma"/>
                  <w:szCs w:val="20"/>
                </w:rPr>
                <w:t>1</w:t>
              </w:r>
              <w:r w:rsidRPr="00432883">
                <w:rPr>
                  <w:rStyle w:val="Hyperlink"/>
                  <w:rFonts w:cs="Tahoma"/>
                  <w:szCs w:val="20"/>
                </w:rPr>
                <w:t>_DAT</w:t>
              </w:r>
            </w:hyperlink>
          </w:p>
          <w:p w:rsidR="00507F9E" w:rsidRPr="00712285" w:rsidRDefault="00507F9E" w:rsidP="00D4638B">
            <w:pPr>
              <w:rPr>
                <w:rStyle w:val="Hyperlink"/>
                <w:rFonts w:cs="Tahoma"/>
              </w:rPr>
            </w:pPr>
            <w:r w:rsidRPr="00712285">
              <w:rPr>
                <w:rStyle w:val="Hyperlink"/>
                <w:rFonts w:cs="Tahoma"/>
              </w:rPr>
              <w:t xml:space="preserve">AND </w:t>
            </w:r>
          </w:p>
          <w:p w:rsidR="00507F9E" w:rsidRDefault="00507F9E" w:rsidP="00D4638B">
            <w:pPr>
              <w:rPr>
                <w:rStyle w:val="Hyperlink"/>
                <w:rFonts w:cs="Tahoma"/>
                <w:szCs w:val="20"/>
              </w:rPr>
            </w:pPr>
            <w:r w:rsidRPr="00712285">
              <w:rPr>
                <w:rStyle w:val="Hyperlink"/>
                <w:rFonts w:cs="Tahoma"/>
              </w:rPr>
              <w:t xml:space="preserve">If </w:t>
            </w:r>
            <w:hyperlink w:anchor="_PULRHBOFF_DAT" w:history="1">
              <w:r w:rsidRPr="001256EF">
                <w:rPr>
                  <w:rStyle w:val="Hyperlink"/>
                  <w:rFonts w:cs="Tahoma"/>
                  <w:szCs w:val="20"/>
                </w:rPr>
                <w:t>PULRHBOFF_DAT</w:t>
              </w:r>
            </w:hyperlink>
            <w:r w:rsidRPr="00001F86">
              <w:rPr>
                <w:rFonts w:cs="Tahoma"/>
                <w:szCs w:val="20"/>
              </w:rPr>
              <w:t xml:space="preserve"> </w:t>
            </w:r>
            <w:r w:rsidRPr="00712285">
              <w:rPr>
                <w:rStyle w:val="Hyperlink"/>
                <w:rFonts w:cs="Tahoma"/>
              </w:rPr>
              <w:t>&gt;</w:t>
            </w:r>
            <w:r>
              <w:rPr>
                <w:rStyle w:val="Hyperlink"/>
                <w:rFonts w:cs="Tahoma"/>
              </w:rPr>
              <w:t xml:space="preserve"> </w:t>
            </w:r>
            <w:r w:rsidRPr="00A64B9A">
              <w:rPr>
                <w:rFonts w:cs="Tahoma"/>
              </w:rPr>
              <w:t>(</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rsidR="00507F9E" w:rsidRDefault="00507F9E" w:rsidP="00D4638B">
            <w:pPr>
              <w:rPr>
                <w:rFonts w:cs="Tahoma"/>
                <w:szCs w:val="20"/>
              </w:rPr>
            </w:pPr>
          </w:p>
        </w:tc>
        <w:sdt>
          <w:sdtPr>
            <w:rPr>
              <w:rFonts w:cs="Arial"/>
              <w:szCs w:val="20"/>
            </w:rPr>
            <w:id w:val="-6619045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rsidR="00507F9E" w:rsidRDefault="00507F9E" w:rsidP="00D4638B">
                <w:pPr>
                  <w:jc w:val="center"/>
                  <w:rPr>
                    <w:rFonts w:cs="Arial"/>
                    <w:szCs w:val="20"/>
                  </w:rPr>
                </w:pPr>
                <w:r>
                  <w:rPr>
                    <w:rFonts w:cs="Arial"/>
                    <w:szCs w:val="20"/>
                  </w:rPr>
                  <w:t>Select</w:t>
                </w:r>
              </w:p>
            </w:tc>
          </w:sdtContent>
        </w:sdt>
        <w:sdt>
          <w:sdtPr>
            <w:rPr>
              <w:rFonts w:cs="Arial"/>
              <w:szCs w:val="20"/>
            </w:rPr>
            <w:id w:val="-2138324276"/>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rsidR="00507F9E" w:rsidRDefault="00507F9E" w:rsidP="00D4638B">
                <w:pPr>
                  <w:jc w:val="center"/>
                  <w:rPr>
                    <w:rFonts w:cs="Arial"/>
                    <w:szCs w:val="20"/>
                  </w:rPr>
                </w:pPr>
                <w:r>
                  <w:rPr>
                    <w:rFonts w:cs="Arial"/>
                    <w:szCs w:val="20"/>
                  </w:rPr>
                  <w:t>Next rule</w:t>
                </w:r>
              </w:p>
            </w:tc>
          </w:sdtContent>
        </w:sdt>
        <w:tc>
          <w:tcPr>
            <w:tcW w:w="5385" w:type="dxa"/>
            <w:shd w:val="clear" w:color="auto" w:fill="DDEEFF"/>
            <w:tcMar>
              <w:top w:w="57" w:type="dxa"/>
              <w:bottom w:w="57" w:type="dxa"/>
            </w:tcMar>
            <w:vAlign w:val="center"/>
          </w:tcPr>
          <w:p w:rsidR="00507F9E" w:rsidRDefault="00E45FFC" w:rsidP="00D4638B">
            <w:pPr>
              <w:rPr>
                <w:rFonts w:cs="Arial"/>
                <w:szCs w:val="20"/>
              </w:rPr>
            </w:pPr>
            <w:sdt>
              <w:sdtPr>
                <w:rPr>
                  <w:rFonts w:cs="Arial"/>
                  <w:szCs w:val="20"/>
                </w:rPr>
                <w:alias w:val="Action"/>
                <w:tag w:val="Action"/>
                <w:id w:val="-789283947"/>
                <w:comboBox>
                  <w:listItem w:value="Choose an item."/>
                  <w:listItem w:displayText="Select" w:value="Select"/>
                  <w:listItem w:displayText="Reject" w:value="Reject"/>
                  <w:listItem w:displayText="Pass to the next rule all" w:value="Pass to the next rule all"/>
                </w:comboBox>
              </w:sdtPr>
              <w:sdtEndPr/>
              <w:sdtContent>
                <w:r w:rsidR="00507F9E">
                  <w:rPr>
                    <w:rFonts w:cs="Arial"/>
                    <w:szCs w:val="20"/>
                  </w:rPr>
                  <w:t>Select</w:t>
                </w:r>
              </w:sdtContent>
            </w:sdt>
            <w:r w:rsidR="00507F9E">
              <w:rPr>
                <w:rFonts w:cs="Arial"/>
                <w:szCs w:val="20"/>
              </w:rPr>
              <w:t xml:space="preserve"> patients passed to this rule who </w:t>
            </w:r>
            <w:r w:rsidR="00507F9E" w:rsidRPr="00261650">
              <w:rPr>
                <w:rFonts w:cs="Arial"/>
                <w:szCs w:val="20"/>
              </w:rPr>
              <w:t xml:space="preserve">have </w:t>
            </w:r>
            <w:r w:rsidR="00507F9E">
              <w:rPr>
                <w:rFonts w:cs="Arial"/>
                <w:szCs w:val="20"/>
              </w:rPr>
              <w:t>been offered</w:t>
            </w:r>
            <w:r w:rsidR="00507F9E" w:rsidRPr="00261650">
              <w:rPr>
                <w:rFonts w:cs="Arial"/>
                <w:szCs w:val="20"/>
              </w:rPr>
              <w:t xml:space="preserve"> pulmonary rehabilitation </w:t>
            </w:r>
            <w:r w:rsidR="00507F9E">
              <w:rPr>
                <w:rFonts w:cs="Arial"/>
                <w:szCs w:val="20"/>
              </w:rPr>
              <w:t xml:space="preserve">on or after the recording of a MRC </w:t>
            </w:r>
            <w:r w:rsidR="00507F9E">
              <w:rPr>
                <w:rFonts w:asciiTheme="minorHAnsi" w:hAnsiTheme="minorHAnsi" w:cstheme="minorHAnsi"/>
                <w:iCs/>
                <w:szCs w:val="20"/>
              </w:rPr>
              <w:t>breathlessness scale s</w:t>
            </w:r>
            <w:r w:rsidR="00507F9E" w:rsidRPr="003E2FAD">
              <w:rPr>
                <w:rFonts w:asciiTheme="minorHAnsi" w:hAnsiTheme="minorHAnsi" w:cstheme="minorHAnsi"/>
                <w:iCs/>
                <w:szCs w:val="20"/>
              </w:rPr>
              <w:t>core</w:t>
            </w:r>
            <w:r w:rsidR="00507F9E">
              <w:rPr>
                <w:rFonts w:asciiTheme="minorHAnsi" w:hAnsiTheme="minorHAnsi" w:cstheme="minorHAnsi"/>
                <w:iCs/>
                <w:szCs w:val="20"/>
              </w:rPr>
              <w:t xml:space="preserve"> of </w:t>
            </w:r>
            <w:r w:rsidR="00507F9E" w:rsidRPr="0058567E">
              <w:rPr>
                <w:rFonts w:asciiTheme="minorHAnsi" w:hAnsiTheme="minorHAnsi" w:cstheme="minorHAnsi"/>
                <w:iCs/>
                <w:szCs w:val="20"/>
                <w:u w:val="single"/>
              </w:rPr>
              <w:t>&gt;</w:t>
            </w:r>
            <w:r w:rsidR="00507F9E" w:rsidRPr="00261650">
              <w:rPr>
                <w:rFonts w:cs="Arial"/>
                <w:szCs w:val="20"/>
              </w:rPr>
              <w:t>3</w:t>
            </w:r>
            <w:r w:rsidR="00507F9E">
              <w:rPr>
                <w:rFonts w:cs="Arial"/>
                <w:szCs w:val="20"/>
              </w:rPr>
              <w:t xml:space="preserve"> in the 12 months up to and including the payment period end date.</w:t>
            </w:r>
            <w:r w:rsidR="00507F9E">
              <w:rPr>
                <w:rFonts w:asciiTheme="minorHAnsi" w:hAnsiTheme="minorHAnsi" w:cstheme="minorHAnsi"/>
                <w:iCs/>
                <w:szCs w:val="20"/>
              </w:rPr>
              <w:t xml:space="preserve"> </w:t>
            </w:r>
            <w:sdt>
              <w:sdtPr>
                <w:rPr>
                  <w:rFonts w:cs="Arial"/>
                  <w:szCs w:val="20"/>
                </w:rPr>
                <w:alias w:val="Action"/>
                <w:tag w:val="Action"/>
                <w:id w:val="159790364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507F9E">
                  <w:rPr>
                    <w:rFonts w:cs="Arial"/>
                    <w:szCs w:val="20"/>
                  </w:rPr>
                  <w:t>Pass all remaining patients to the next rule.</w:t>
                </w:r>
              </w:sdtContent>
            </w:sdt>
          </w:p>
        </w:tc>
      </w:tr>
    </w:tbl>
    <w:p w:rsidR="008B0DEE" w:rsidRDefault="008B0DEE" w:rsidP="008572CF"/>
    <w:p w:rsidR="00E45FFC" w:rsidRDefault="00E45FFC" w:rsidP="008572CF"/>
    <w:p w:rsidR="00E45FFC" w:rsidRDefault="00E45FFC" w:rsidP="008572CF"/>
    <w:p w:rsidR="00E45FFC" w:rsidRDefault="00E45FFC" w:rsidP="008572CF"/>
    <w:p w:rsidR="00E45FFC" w:rsidRDefault="00E45FFC" w:rsidP="008572CF"/>
    <w:p w:rsidR="00E45FFC" w:rsidRDefault="00E45FFC" w:rsidP="008572CF"/>
    <w:p w:rsidR="00E45FFC" w:rsidRDefault="00E45FFC" w:rsidP="008572CF"/>
    <w:p w:rsidR="00E45FFC" w:rsidRDefault="00E45FFC" w:rsidP="008572CF"/>
    <w:p w:rsidR="008B0DEE" w:rsidRDefault="008B0DEE" w:rsidP="008572CF"/>
    <w:p w:rsidR="008572CF" w:rsidRDefault="008572CF" w:rsidP="008572CF">
      <w:r w:rsidRPr="008572CF">
        <w:lastRenderedPageBreak/>
        <w:t>DM014. The percentage of patients newly diagnosed with diabetes, on the register, in the preceding 1 April to 31 March who have a record of being referred to a structured education programme within 9 months after entry on to the diabetes register NICE 2011 menu ID: NM27</w:t>
      </w:r>
    </w:p>
    <w:p w:rsidR="008572CF" w:rsidRDefault="008572CF" w:rsidP="008572CF"/>
    <w:p w:rsidR="00EE17F9" w:rsidRPr="00EE17F9" w:rsidRDefault="00EE17F9" w:rsidP="008572CF">
      <w:pPr>
        <w:rPr>
          <w:b/>
        </w:rPr>
      </w:pPr>
      <w:r w:rsidRPr="00EE17F9">
        <w:rPr>
          <w:b/>
        </w:rPr>
        <w:t>Business Rule</w:t>
      </w:r>
    </w:p>
    <w:p w:rsidR="00EE17F9" w:rsidRDefault="00EE17F9" w:rsidP="008572CF"/>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1524"/>
        <w:gridCol w:w="1523"/>
        <w:gridCol w:w="5789"/>
      </w:tblGrid>
      <w:tr w:rsidR="00760FA0" w:rsidTr="00D4638B">
        <w:trPr>
          <w:cantSplit/>
          <w:trHeight w:val="454"/>
        </w:trPr>
        <w:tc>
          <w:tcPr>
            <w:tcW w:w="4806" w:type="dxa"/>
            <w:tcMar>
              <w:top w:w="57" w:type="dxa"/>
              <w:bottom w:w="57" w:type="dxa"/>
            </w:tcMar>
            <w:vAlign w:val="center"/>
          </w:tcPr>
          <w:p w:rsidR="00760FA0" w:rsidRPr="002A78A8" w:rsidRDefault="00760FA0" w:rsidP="00D4638B">
            <w:pPr>
              <w:rPr>
                <w:rFonts w:cs="Arial"/>
                <w:szCs w:val="20"/>
              </w:rPr>
            </w:pPr>
            <w:r w:rsidRPr="002A78A8">
              <w:rPr>
                <w:rFonts w:cs="Tahoma"/>
                <w:szCs w:val="20"/>
              </w:rPr>
              <w:t xml:space="preserve">If </w:t>
            </w:r>
            <w:hyperlink w:anchor="DSEP_DAT" w:history="1">
              <w:r w:rsidRPr="002A78A8">
                <w:rPr>
                  <w:rStyle w:val="Hyperlink"/>
                  <w:rFonts w:cs="Tahoma"/>
                  <w:szCs w:val="20"/>
                </w:rPr>
                <w:t>DSEP_DAT</w:t>
              </w:r>
            </w:hyperlink>
            <w:r w:rsidRPr="002A78A8">
              <w:rPr>
                <w:rFonts w:cs="Tahoma"/>
                <w:szCs w:val="20"/>
              </w:rPr>
              <w:t xml:space="preserve"> &lt;= (</w:t>
            </w:r>
            <w:hyperlink w:anchor="DM_DAT" w:history="1">
              <w:r w:rsidRPr="002A78A8">
                <w:rPr>
                  <w:rStyle w:val="Hyperlink"/>
                  <w:rFonts w:cs="Tahoma"/>
                  <w:szCs w:val="20"/>
                </w:rPr>
                <w:t>DM_D</w:t>
              </w:r>
              <w:r>
                <w:rPr>
                  <w:rStyle w:val="Hyperlink"/>
                  <w:rFonts w:cs="Tahoma"/>
                  <w:szCs w:val="20"/>
                </w:rPr>
                <w:t>AT</w:t>
              </w:r>
            </w:hyperlink>
            <w:r w:rsidRPr="002A78A8">
              <w:rPr>
                <w:rFonts w:cs="Tahoma"/>
                <w:szCs w:val="20"/>
              </w:rPr>
              <w:t xml:space="preserve"> + </w:t>
            </w:r>
            <w:r w:rsidRPr="002A78A8">
              <w:rPr>
                <w:rFonts w:cs="Tahoma"/>
                <w:shd w:val="clear" w:color="auto" w:fill="FFFFFF"/>
              </w:rPr>
              <w:t>279 days</w:t>
            </w:r>
            <w:r w:rsidRPr="002A78A8">
              <w:rPr>
                <w:rFonts w:cs="Tahoma"/>
                <w:szCs w:val="20"/>
              </w:rPr>
              <w:t>)</w:t>
            </w:r>
          </w:p>
        </w:tc>
        <w:sdt>
          <w:sdtPr>
            <w:rPr>
              <w:rFonts w:cs="Arial"/>
              <w:szCs w:val="20"/>
            </w:rPr>
            <w:id w:val="-560245189"/>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rsidR="00760FA0" w:rsidRDefault="00760FA0" w:rsidP="00D4638B">
                <w:pPr>
                  <w:jc w:val="center"/>
                  <w:rPr>
                    <w:rFonts w:cs="Arial"/>
                    <w:szCs w:val="20"/>
                  </w:rPr>
                </w:pPr>
                <w:r>
                  <w:rPr>
                    <w:rFonts w:cs="Arial"/>
                    <w:szCs w:val="20"/>
                  </w:rPr>
                  <w:t>Select</w:t>
                </w:r>
              </w:p>
            </w:tc>
          </w:sdtContent>
        </w:sdt>
        <w:sdt>
          <w:sdtPr>
            <w:rPr>
              <w:rFonts w:cs="Arial"/>
              <w:szCs w:val="20"/>
            </w:rPr>
            <w:id w:val="2104919132"/>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rsidR="00760FA0" w:rsidRDefault="00760FA0" w:rsidP="00D4638B">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rsidR="00760FA0" w:rsidRDefault="00E45FFC" w:rsidP="00D4638B">
            <w:pPr>
              <w:rPr>
                <w:rFonts w:cs="Arial"/>
                <w:szCs w:val="20"/>
              </w:rPr>
            </w:pPr>
            <w:sdt>
              <w:sdtPr>
                <w:rPr>
                  <w:rFonts w:cs="Arial"/>
                  <w:szCs w:val="20"/>
                </w:rPr>
                <w:alias w:val="Action"/>
                <w:tag w:val="Action"/>
                <w:id w:val="326479962"/>
                <w:comboBox>
                  <w:listItem w:value="Choose an item."/>
                  <w:listItem w:displayText="Select" w:value="Select"/>
                  <w:listItem w:displayText="Reject" w:value="Reject"/>
                  <w:listItem w:displayText="Pass to the next rule all" w:value="Pass to the next rule all"/>
                </w:comboBox>
              </w:sdtPr>
              <w:sdtEndPr/>
              <w:sdtContent>
                <w:r w:rsidR="00760FA0">
                  <w:rPr>
                    <w:rFonts w:cs="Arial"/>
                    <w:szCs w:val="20"/>
                  </w:rPr>
                  <w:t>Select</w:t>
                </w:r>
              </w:sdtContent>
            </w:sdt>
            <w:r w:rsidR="00760FA0">
              <w:rPr>
                <w:rFonts w:cs="Arial"/>
                <w:szCs w:val="20"/>
              </w:rPr>
              <w:t xml:space="preserve"> patients passed to this rule who have been referred to a structured education programme in the 279 days following their diabetes diagnosis. </w:t>
            </w:r>
            <w:sdt>
              <w:sdtPr>
                <w:rPr>
                  <w:rFonts w:cs="Arial"/>
                  <w:szCs w:val="20"/>
                </w:rPr>
                <w:alias w:val="Action"/>
                <w:tag w:val="Action"/>
                <w:id w:val="15216653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60FA0">
                  <w:rPr>
                    <w:rFonts w:cs="Arial"/>
                    <w:szCs w:val="20"/>
                  </w:rPr>
                  <w:t>Pass all remaining patients to the next rule.</w:t>
                </w:r>
              </w:sdtContent>
            </w:sdt>
          </w:p>
        </w:tc>
      </w:tr>
    </w:tbl>
    <w:p w:rsidR="008572CF" w:rsidRDefault="008572CF" w:rsidP="008572CF"/>
    <w:p w:rsidR="008572CF" w:rsidRDefault="008572CF" w:rsidP="008572CF"/>
    <w:p w:rsidR="008572CF" w:rsidRPr="00201603" w:rsidRDefault="00EE17F9" w:rsidP="00201603">
      <w:pPr>
        <w:pStyle w:val="ListParagraph"/>
        <w:numPr>
          <w:ilvl w:val="0"/>
          <w:numId w:val="10"/>
        </w:numPr>
        <w:rPr>
          <w:b/>
          <w:sz w:val="24"/>
        </w:rPr>
      </w:pPr>
      <w:r>
        <w:rPr>
          <w:b/>
          <w:sz w:val="24"/>
        </w:rPr>
        <w:t>I</w:t>
      </w:r>
      <w:r w:rsidR="008572CF" w:rsidRPr="00201603">
        <w:rPr>
          <w:b/>
          <w:sz w:val="24"/>
        </w:rPr>
        <w:t>ntervention described in the indicator is clinically unsuitable</w:t>
      </w:r>
    </w:p>
    <w:p w:rsidR="008572CF" w:rsidRDefault="008572CF" w:rsidP="008572CF">
      <w:pPr>
        <w:pStyle w:val="ListParagraph"/>
      </w:pPr>
    </w:p>
    <w:p w:rsidR="00253E14" w:rsidRPr="00253E14" w:rsidRDefault="00253E14" w:rsidP="008572CF">
      <w:pPr>
        <w:pStyle w:val="ListParagraph"/>
        <w:rPr>
          <w:b/>
        </w:rPr>
      </w:pPr>
      <w:r w:rsidRPr="00253E14">
        <w:rPr>
          <w:b/>
        </w:rPr>
        <w:t>Patient Unsuitable codes recommended which apply to all indicators in the clinical area and more specific codes which can be attributed to single indicators</w:t>
      </w:r>
    </w:p>
    <w:p w:rsidR="00253E14" w:rsidRDefault="00253E14" w:rsidP="00253E14"/>
    <w:p w:rsidR="00253E14" w:rsidRDefault="00882B4C" w:rsidP="00253E14">
      <w:pPr>
        <w:pStyle w:val="ListParagraph"/>
      </w:pPr>
      <w:r>
        <w:t xml:space="preserve">Historical Exception </w:t>
      </w:r>
      <w:proofErr w:type="gramStart"/>
      <w:r>
        <w:t>Reporting :</w:t>
      </w:r>
      <w:proofErr w:type="gramEnd"/>
      <w:r>
        <w:t xml:space="preserve"> 1. Patients for whom it is not appropriate to review the chronic disease parameters due to particular circumstances i.e. EOL 2. </w:t>
      </w:r>
      <w:proofErr w:type="gramStart"/>
      <w:r>
        <w:t>maximum</w:t>
      </w:r>
      <w:proofErr w:type="gramEnd"/>
      <w:r>
        <w:t xml:space="preserve"> tolerated dose 3. Allergies, contraindication 4. Not tolerated medication 5. Supervening conditions</w:t>
      </w:r>
    </w:p>
    <w:p w:rsidR="00882B4C" w:rsidRDefault="00882B4C" w:rsidP="00882B4C"/>
    <w:p w:rsidR="00882B4C" w:rsidRPr="00882B4C" w:rsidRDefault="00882B4C" w:rsidP="00201603">
      <w:pPr>
        <w:pStyle w:val="ListParagraph"/>
        <w:numPr>
          <w:ilvl w:val="0"/>
          <w:numId w:val="10"/>
        </w:numPr>
        <w:rPr>
          <w:b/>
          <w:sz w:val="24"/>
        </w:rPr>
      </w:pPr>
      <w:r w:rsidRPr="00882B4C">
        <w:rPr>
          <w:b/>
          <w:sz w:val="24"/>
        </w:rPr>
        <w:t>The patient has chosen not to receive the intervention described in the indicator</w:t>
      </w:r>
    </w:p>
    <w:p w:rsidR="00882B4C" w:rsidRDefault="00882B4C" w:rsidP="00882B4C">
      <w:pPr>
        <w:pStyle w:val="ListParagraph"/>
      </w:pPr>
    </w:p>
    <w:p w:rsidR="00253E14" w:rsidRPr="00253E14" w:rsidRDefault="00253E14" w:rsidP="00882B4C">
      <w:pPr>
        <w:pStyle w:val="ListParagraph"/>
        <w:rPr>
          <w:b/>
        </w:rPr>
      </w:pPr>
      <w:r w:rsidRPr="00253E14">
        <w:rPr>
          <w:b/>
        </w:rPr>
        <w:t>Informed Dissent codes recommended which apply to all indicators in the clinical area and more specific codes which can be attributed to single indicators</w:t>
      </w:r>
    </w:p>
    <w:p w:rsidR="00253E14" w:rsidRDefault="00253E14" w:rsidP="00882B4C">
      <w:pPr>
        <w:pStyle w:val="ListParagraph"/>
      </w:pPr>
    </w:p>
    <w:p w:rsidR="00882B4C" w:rsidRDefault="00882B4C" w:rsidP="00882B4C">
      <w:pPr>
        <w:pStyle w:val="ListParagraph"/>
        <w:numPr>
          <w:ilvl w:val="0"/>
          <w:numId w:val="8"/>
        </w:numPr>
      </w:pPr>
      <w:r>
        <w:t>CS005 and CS006 continue to review regularly</w:t>
      </w:r>
    </w:p>
    <w:p w:rsidR="00882B4C" w:rsidRDefault="00882B4C" w:rsidP="00882B4C"/>
    <w:p w:rsidR="00882B4C" w:rsidRDefault="00882B4C" w:rsidP="00882B4C">
      <w:pPr>
        <w:pStyle w:val="ListParagraph"/>
      </w:pPr>
    </w:p>
    <w:p w:rsidR="008572CF" w:rsidRPr="00882B4C" w:rsidRDefault="00882B4C" w:rsidP="00201603">
      <w:pPr>
        <w:pStyle w:val="ListParagraph"/>
        <w:numPr>
          <w:ilvl w:val="0"/>
          <w:numId w:val="10"/>
        </w:numPr>
        <w:rPr>
          <w:b/>
          <w:sz w:val="24"/>
        </w:rPr>
      </w:pPr>
      <w:r w:rsidRPr="00882B4C">
        <w:rPr>
          <w:b/>
          <w:sz w:val="24"/>
        </w:rPr>
        <w:t>The patient has not responded to invitations for the intervention described in the indicator</w:t>
      </w:r>
    </w:p>
    <w:p w:rsidR="00882B4C" w:rsidRDefault="00882B4C" w:rsidP="00882B4C">
      <w:pPr>
        <w:pStyle w:val="ListParagraph"/>
      </w:pPr>
    </w:p>
    <w:p w:rsidR="00882B4C" w:rsidRDefault="00882B4C" w:rsidP="00882B4C">
      <w:pPr>
        <w:pStyle w:val="ListParagraph"/>
      </w:pPr>
      <w:r w:rsidRPr="00A4795D">
        <w:rPr>
          <w:b/>
        </w:rPr>
        <w:t>Minimum of two invitations</w:t>
      </w:r>
      <w:r>
        <w:t xml:space="preserve"> for QOF care at two unique times in the QOF year, exception </w:t>
      </w:r>
      <w:r w:rsidRPr="00A4795D">
        <w:rPr>
          <w:b/>
        </w:rPr>
        <w:t>CS005 and CS006 three invitations must be sent</w:t>
      </w:r>
    </w:p>
    <w:p w:rsidR="00882B4C" w:rsidRDefault="00882B4C" w:rsidP="00882B4C">
      <w:pPr>
        <w:pStyle w:val="ListParagraph"/>
      </w:pPr>
      <w:r>
        <w:t>Record methods of communication, invitations should be personalised, invitations should be coded, minimum 7 cal</w:t>
      </w:r>
      <w:r w:rsidR="002E0D0D">
        <w:t>enda</w:t>
      </w:r>
      <w:r>
        <w:t xml:space="preserve">r days between each invitation, </w:t>
      </w:r>
      <w:proofErr w:type="gramStart"/>
      <w:r>
        <w:t>practices</w:t>
      </w:r>
      <w:proofErr w:type="gramEnd"/>
      <w:r>
        <w:t xml:space="preserve"> should use judgement.</w:t>
      </w:r>
    </w:p>
    <w:p w:rsidR="00E45FFC" w:rsidRDefault="00E45FFC" w:rsidP="00882B4C">
      <w:pPr>
        <w:pStyle w:val="ListParagraph"/>
      </w:pPr>
    </w:p>
    <w:p w:rsidR="00E45FFC" w:rsidRDefault="00E45FFC" w:rsidP="00882B4C">
      <w:pPr>
        <w:pStyle w:val="ListParagraph"/>
      </w:pPr>
    </w:p>
    <w:p w:rsidR="00E45FFC" w:rsidRDefault="00E45FFC" w:rsidP="00882B4C">
      <w:pPr>
        <w:pStyle w:val="ListParagraph"/>
      </w:pPr>
    </w:p>
    <w:p w:rsidR="00E45FFC" w:rsidRDefault="00E45FFC" w:rsidP="00882B4C">
      <w:pPr>
        <w:pStyle w:val="ListParagraph"/>
      </w:pPr>
    </w:p>
    <w:p w:rsidR="00882B4C" w:rsidRDefault="00882B4C" w:rsidP="00882B4C">
      <w:pPr>
        <w:pStyle w:val="ListParagraph"/>
      </w:pPr>
    </w:p>
    <w:p w:rsidR="00882B4C" w:rsidRPr="00B05D5D" w:rsidRDefault="00882B4C" w:rsidP="00882B4C">
      <w:pPr>
        <w:pStyle w:val="ListParagraph"/>
        <w:rPr>
          <w:b/>
        </w:rPr>
      </w:pPr>
      <w:r w:rsidRPr="00B05D5D">
        <w:rPr>
          <w:b/>
        </w:rPr>
        <w:lastRenderedPageBreak/>
        <w:t>PATIENTS SHOULD BE SENT A MINIMUM OF TWO INVITATIONS FOR CARE WITH THE QOF YEAR I.E. 1</w:t>
      </w:r>
      <w:r w:rsidRPr="00B05D5D">
        <w:rPr>
          <w:b/>
          <w:vertAlign w:val="superscript"/>
        </w:rPr>
        <w:t>ST</w:t>
      </w:r>
      <w:r w:rsidRPr="00B05D5D">
        <w:rPr>
          <w:b/>
        </w:rPr>
        <w:t xml:space="preserve"> APRIL TO 31</w:t>
      </w:r>
      <w:r w:rsidRPr="00B05D5D">
        <w:rPr>
          <w:b/>
          <w:vertAlign w:val="superscript"/>
        </w:rPr>
        <w:t>ST</w:t>
      </w:r>
      <w:r w:rsidRPr="00B05D5D">
        <w:rPr>
          <w:b/>
        </w:rPr>
        <w:t xml:space="preserve"> MARCH.  IF THESE INVITATIONS ARE CORRECTLY CODED THEN THEY WILL BE IDENTIFIED THROUGH THE BUSINESS RULES AND THERE WILL BE NO NEED TO</w:t>
      </w:r>
      <w:r w:rsidR="00B05D5D">
        <w:rPr>
          <w:b/>
        </w:rPr>
        <w:t xml:space="preserve"> ADD ADDITIONAL CODES AT YEAR-E</w:t>
      </w:r>
      <w:r w:rsidRPr="00B05D5D">
        <w:rPr>
          <w:b/>
        </w:rPr>
        <w:t>ND TO INDICATE THAT A PATIENT HAS NOT RESPONDED TO THESE INVITATIONS</w:t>
      </w:r>
    </w:p>
    <w:p w:rsidR="00882B4C" w:rsidRDefault="00882B4C" w:rsidP="00882B4C">
      <w:pPr>
        <w:pStyle w:val="ListParagraph"/>
      </w:pPr>
    </w:p>
    <w:p w:rsidR="00A4795D" w:rsidRDefault="00A4795D" w:rsidP="00882B4C">
      <w:pPr>
        <w:pStyle w:val="ListParagraph"/>
        <w:rPr>
          <w:b/>
          <w:color w:val="FF0000"/>
        </w:rPr>
      </w:pPr>
      <w:r w:rsidRPr="00A4795D">
        <w:rPr>
          <w:b/>
          <w:color w:val="FF0000"/>
        </w:rPr>
        <w:t xml:space="preserve">Business Rule – Cancer example </w:t>
      </w:r>
      <w:r w:rsidR="00797CBB">
        <w:rPr>
          <w:b/>
          <w:color w:val="FF0000"/>
        </w:rPr>
        <w:t xml:space="preserve">- </w:t>
      </w:r>
      <w:r w:rsidRPr="00A4795D">
        <w:rPr>
          <w:b/>
          <w:color w:val="FF0000"/>
        </w:rPr>
        <w:t>same for all domains, once two invitations have been initiated the patient will be removed from the indicators and you will be unable to easily locate the missing patients!</w:t>
      </w:r>
    </w:p>
    <w:p w:rsidR="0053742E" w:rsidRDefault="0053742E" w:rsidP="00882B4C">
      <w:pPr>
        <w:pStyle w:val="ListParagraph"/>
        <w:rPr>
          <w:b/>
          <w:color w:val="FF0000"/>
        </w:rPr>
      </w:pPr>
    </w:p>
    <w:p w:rsidR="00A4795D" w:rsidRDefault="00A4795D" w:rsidP="00882B4C">
      <w:pPr>
        <w:pStyle w:val="ListParagraph"/>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1524"/>
        <w:gridCol w:w="1523"/>
        <w:gridCol w:w="5789"/>
      </w:tblGrid>
      <w:tr w:rsidR="00A4795D" w:rsidTr="00D4638B">
        <w:trPr>
          <w:trHeight w:val="454"/>
        </w:trPr>
        <w:tc>
          <w:tcPr>
            <w:tcW w:w="4806" w:type="dxa"/>
            <w:tcMar>
              <w:top w:w="57" w:type="dxa"/>
              <w:bottom w:w="57" w:type="dxa"/>
            </w:tcMar>
            <w:vAlign w:val="center"/>
          </w:tcPr>
          <w:p w:rsidR="00A4795D" w:rsidRDefault="00A4795D" w:rsidP="00D4638B">
            <w:pPr>
              <w:rPr>
                <w:rFonts w:cs="Tahoma"/>
                <w:szCs w:val="20"/>
              </w:rPr>
            </w:pPr>
            <w:r>
              <w:rPr>
                <w:rFonts w:cs="Tahoma"/>
                <w:szCs w:val="20"/>
              </w:rPr>
              <w:t xml:space="preserve">If </w:t>
            </w:r>
            <w:hyperlink w:anchor="_CANINVITE1_DAT" w:history="1">
              <w:r>
                <w:rPr>
                  <w:rStyle w:val="Hyperlink"/>
                </w:rPr>
                <w:t>CAN</w:t>
              </w:r>
              <w:r w:rsidRPr="0061725F">
                <w:rPr>
                  <w:rStyle w:val="Hyperlink"/>
                  <w:rFonts w:cs="Tahoma"/>
                  <w:szCs w:val="20"/>
                </w:rPr>
                <w:t>INVITE1_DAT</w:t>
              </w:r>
            </w:hyperlink>
            <w:r>
              <w:rPr>
                <w:rFonts w:cs="Tahoma"/>
                <w:szCs w:val="20"/>
              </w:rPr>
              <w:t xml:space="preserve"> </w:t>
            </w:r>
            <w:r>
              <w:rPr>
                <w:rFonts w:cs="Arial"/>
                <w:szCs w:val="20"/>
              </w:rPr>
              <w:t>≠</w:t>
            </w:r>
            <w:r>
              <w:rPr>
                <w:rFonts w:cs="Tahoma"/>
                <w:szCs w:val="20"/>
              </w:rPr>
              <w:t xml:space="preserve"> Null </w:t>
            </w:r>
          </w:p>
          <w:p w:rsidR="00A4795D" w:rsidRDefault="00A4795D" w:rsidP="00D4638B">
            <w:pPr>
              <w:rPr>
                <w:rFonts w:cs="Tahoma"/>
                <w:szCs w:val="20"/>
              </w:rPr>
            </w:pPr>
            <w:r>
              <w:rPr>
                <w:rFonts w:cs="Tahoma"/>
                <w:szCs w:val="20"/>
              </w:rPr>
              <w:t>AND</w:t>
            </w:r>
          </w:p>
          <w:p w:rsidR="00A4795D" w:rsidRDefault="00A4795D" w:rsidP="00D4638B">
            <w:pPr>
              <w:rPr>
                <w:rFonts w:cs="Tahoma"/>
                <w:szCs w:val="20"/>
              </w:rPr>
            </w:pPr>
            <w:r>
              <w:rPr>
                <w:rFonts w:cs="Tahoma"/>
                <w:szCs w:val="20"/>
              </w:rPr>
              <w:t xml:space="preserve">If </w:t>
            </w:r>
            <w:hyperlink w:anchor="_CANINVITE2_DAT" w:history="1">
              <w:r>
                <w:rPr>
                  <w:rStyle w:val="Hyperlink"/>
                </w:rPr>
                <w:t>CAN</w:t>
              </w:r>
              <w:r w:rsidRPr="0061725F">
                <w:rPr>
                  <w:rStyle w:val="Hyperlink"/>
                  <w:rFonts w:cs="Tahoma"/>
                  <w:szCs w:val="20"/>
                </w:rPr>
                <w:t>INVITE2_DAT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195298204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rsidR="00A4795D" w:rsidRDefault="00A4795D" w:rsidP="00D4638B">
                <w:pPr>
                  <w:jc w:val="center"/>
                  <w:rPr>
                    <w:rFonts w:cs="Arial"/>
                    <w:szCs w:val="20"/>
                  </w:rPr>
                </w:pPr>
                <w:r w:rsidRPr="009612AA">
                  <w:rPr>
                    <w:rFonts w:cs="Arial"/>
                    <w:szCs w:val="20"/>
                  </w:rPr>
                  <w:t>Reject</w:t>
                </w:r>
              </w:p>
            </w:tc>
          </w:sdtContent>
        </w:sdt>
        <w:sdt>
          <w:sdtPr>
            <w:rPr>
              <w:rFonts w:cs="Arial"/>
              <w:szCs w:val="20"/>
            </w:rPr>
            <w:id w:val="-1310556617"/>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rsidR="00A4795D" w:rsidRDefault="00A4795D" w:rsidP="00D4638B">
                <w:pPr>
                  <w:jc w:val="center"/>
                  <w:rPr>
                    <w:rFonts w:cs="Arial"/>
                    <w:szCs w:val="20"/>
                  </w:rPr>
                </w:pPr>
                <w:r w:rsidRPr="009612AA">
                  <w:rPr>
                    <w:rFonts w:cs="Arial"/>
                    <w:szCs w:val="20"/>
                  </w:rPr>
                  <w:t>Next rule</w:t>
                </w:r>
              </w:p>
            </w:tc>
          </w:sdtContent>
        </w:sdt>
        <w:tc>
          <w:tcPr>
            <w:tcW w:w="5387" w:type="dxa"/>
            <w:shd w:val="clear" w:color="auto" w:fill="DDEEFF"/>
            <w:tcMar>
              <w:top w:w="57" w:type="dxa"/>
              <w:bottom w:w="57" w:type="dxa"/>
            </w:tcMar>
            <w:vAlign w:val="center"/>
          </w:tcPr>
          <w:p w:rsidR="00A4795D" w:rsidRDefault="00E45FFC" w:rsidP="00D4638B">
            <w:pPr>
              <w:rPr>
                <w:rFonts w:cs="Arial"/>
                <w:szCs w:val="20"/>
              </w:rPr>
            </w:pPr>
            <w:sdt>
              <w:sdtPr>
                <w:rPr>
                  <w:rFonts w:cs="Arial"/>
                  <w:szCs w:val="20"/>
                </w:rPr>
                <w:alias w:val="Action"/>
                <w:tag w:val="Action"/>
                <w:id w:val="-148599296"/>
                <w:comboBox>
                  <w:listItem w:value="Choose an item."/>
                  <w:listItem w:displayText="Select" w:value="Select"/>
                  <w:listItem w:displayText="Reject" w:value="Reject"/>
                  <w:listItem w:displayText="Pass to the next rule all" w:value="Pass to the next rule all"/>
                </w:comboBox>
              </w:sdtPr>
              <w:sdtEndPr/>
              <w:sdtContent>
                <w:r w:rsidR="00A4795D" w:rsidRPr="009612AA">
                  <w:rPr>
                    <w:rFonts w:cs="Arial"/>
                    <w:szCs w:val="20"/>
                  </w:rPr>
                  <w:t>Reject</w:t>
                </w:r>
              </w:sdtContent>
            </w:sdt>
            <w:r w:rsidR="00A4795D" w:rsidRPr="009612AA">
              <w:rPr>
                <w:rFonts w:cs="Arial"/>
                <w:szCs w:val="20"/>
              </w:rPr>
              <w:t xml:space="preserve"> patients passed to this rule who </w:t>
            </w:r>
            <w:r w:rsidR="00A4795D">
              <w:rPr>
                <w:rFonts w:cs="Arial"/>
                <w:szCs w:val="20"/>
              </w:rPr>
              <w:t xml:space="preserve">have not responded to at least two cancer care review invitations, made at least 7 days apart, </w:t>
            </w:r>
            <w:r w:rsidR="00A4795D" w:rsidRPr="009612AA">
              <w:rPr>
                <w:rFonts w:cs="Arial"/>
                <w:szCs w:val="20"/>
              </w:rPr>
              <w:t xml:space="preserve">in the </w:t>
            </w:r>
            <w:r w:rsidR="00A4795D">
              <w:rPr>
                <w:rFonts w:cs="Arial"/>
                <w:szCs w:val="20"/>
              </w:rPr>
              <w:t>12</w:t>
            </w:r>
            <w:r w:rsidR="00A4795D" w:rsidRPr="009612AA">
              <w:rPr>
                <w:rFonts w:cs="Arial"/>
                <w:szCs w:val="20"/>
              </w:rPr>
              <w:t xml:space="preserve"> months </w:t>
            </w:r>
            <w:r w:rsidR="00A4795D" w:rsidRPr="009612AA">
              <w:t xml:space="preserve">leading up to and including the payment period end date. </w:t>
            </w:r>
            <w:sdt>
              <w:sdtPr>
                <w:rPr>
                  <w:rFonts w:cs="Arial"/>
                  <w:szCs w:val="20"/>
                </w:rPr>
                <w:alias w:val="Action"/>
                <w:tag w:val="Action"/>
                <w:id w:val="-817628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4795D" w:rsidRPr="009612AA">
                  <w:rPr>
                    <w:rFonts w:cs="Arial"/>
                    <w:szCs w:val="20"/>
                  </w:rPr>
                  <w:t>Pass all remaining patients to the next rule.</w:t>
                </w:r>
              </w:sdtContent>
            </w:sdt>
          </w:p>
        </w:tc>
      </w:tr>
    </w:tbl>
    <w:p w:rsidR="00A4795D" w:rsidRDefault="00A4795D" w:rsidP="00882B4C">
      <w:pPr>
        <w:pStyle w:val="ListParagraph"/>
      </w:pPr>
    </w:p>
    <w:p w:rsidR="00A4795D" w:rsidRDefault="00A4795D" w:rsidP="00882B4C">
      <w:pPr>
        <w:pStyle w:val="ListParagraph"/>
      </w:pPr>
    </w:p>
    <w:p w:rsidR="00B05D5D" w:rsidRDefault="00B05D5D" w:rsidP="00882B4C">
      <w:pPr>
        <w:pStyle w:val="ListParagraph"/>
      </w:pPr>
      <w:r>
        <w:t>Cervical Screening</w:t>
      </w:r>
      <w:r w:rsidR="002E0D0D">
        <w:t xml:space="preserve"> </w:t>
      </w:r>
      <w:r w:rsidR="004E2510">
        <w:t>– as noted above women to be screened on three separate occasions to continue in line with national screening programme requirements</w:t>
      </w:r>
    </w:p>
    <w:p w:rsidR="004E2510" w:rsidRDefault="004E2510" w:rsidP="00882B4C">
      <w:pPr>
        <w:pStyle w:val="ListParagraph"/>
      </w:pPr>
    </w:p>
    <w:p w:rsidR="004E2510" w:rsidRDefault="004E2510" w:rsidP="00882B4C">
      <w:pPr>
        <w:pStyle w:val="ListParagraph"/>
      </w:pPr>
      <w:r>
        <w:t>Women not responding to these three invitations need to hav</w:t>
      </w:r>
      <w:r w:rsidR="00AC524D">
        <w:t xml:space="preserve">e a specific code entered code i.e. </w:t>
      </w:r>
      <w:r w:rsidR="00F42179">
        <w:t>“</w:t>
      </w:r>
      <w:proofErr w:type="gramStart"/>
      <w:r w:rsidR="00AC524D">
        <w:t>Excepted</w:t>
      </w:r>
      <w:proofErr w:type="gramEnd"/>
      <w:r w:rsidR="00AC524D">
        <w:t xml:space="preserve"> from cervical screening quality indicators – no response to three invitations</w:t>
      </w:r>
      <w:r w:rsidR="00F42179">
        <w:t>”</w:t>
      </w:r>
    </w:p>
    <w:p w:rsidR="004E2510" w:rsidRPr="00AC524D" w:rsidRDefault="004E2510" w:rsidP="00AC524D">
      <w:pPr>
        <w:rPr>
          <w:color w:val="FF0000"/>
        </w:rPr>
      </w:pPr>
    </w:p>
    <w:p w:rsidR="004E2510" w:rsidRDefault="004E2510" w:rsidP="00882B4C">
      <w:pPr>
        <w:pStyle w:val="ListParagraph"/>
      </w:pPr>
      <w:r w:rsidRPr="004E2510">
        <w:t xml:space="preserve">Women </w:t>
      </w:r>
      <w:r w:rsidR="00AC524D">
        <w:t>declining altogether should be recorded as such</w:t>
      </w:r>
    </w:p>
    <w:p w:rsidR="004E2510" w:rsidRDefault="004E2510" w:rsidP="004E2510"/>
    <w:p w:rsidR="004E2510" w:rsidRPr="004E2510" w:rsidRDefault="004E2510" w:rsidP="00201603">
      <w:pPr>
        <w:pStyle w:val="ListParagraph"/>
        <w:numPr>
          <w:ilvl w:val="0"/>
          <w:numId w:val="10"/>
        </w:numPr>
        <w:rPr>
          <w:b/>
          <w:sz w:val="24"/>
        </w:rPr>
      </w:pPr>
      <w:r w:rsidRPr="004E2510">
        <w:rPr>
          <w:b/>
          <w:sz w:val="24"/>
        </w:rPr>
        <w:t>The patient has registered with the practice or been newly diagnosed with the condition in the last 3 months of the QOF year and has not received defined clinical measurements</w:t>
      </w:r>
    </w:p>
    <w:p w:rsidR="004E2510" w:rsidRDefault="004E2510" w:rsidP="004E2510">
      <w:pPr>
        <w:ind w:left="360"/>
      </w:pPr>
    </w:p>
    <w:p w:rsidR="004E2510" w:rsidRDefault="004E2510" w:rsidP="004E2510">
      <w:pPr>
        <w:ind w:left="720"/>
      </w:pPr>
      <w:r>
        <w:t>Where a patient has registered with the practice or is newly diagnosed with a clinical condition in the last three months of the QOF year (1 January – 31 March) this criteria applies automatically, unless the practice has defined clinical measurements within the timeframe for the indicator.  Achievement automatically overrides any PCA (Exception Reporting)</w:t>
      </w:r>
    </w:p>
    <w:p w:rsidR="004E2510" w:rsidRDefault="004E2510" w:rsidP="004E2510"/>
    <w:p w:rsidR="004E2510" w:rsidRDefault="004E2510" w:rsidP="004E2510"/>
    <w:p w:rsidR="004E2510" w:rsidRPr="004E2510" w:rsidRDefault="004E2510" w:rsidP="00201603">
      <w:pPr>
        <w:pStyle w:val="ListParagraph"/>
        <w:numPr>
          <w:ilvl w:val="0"/>
          <w:numId w:val="10"/>
        </w:numPr>
        <w:rPr>
          <w:b/>
          <w:sz w:val="24"/>
        </w:rPr>
      </w:pPr>
      <w:r w:rsidRPr="004E2510">
        <w:rPr>
          <w:b/>
          <w:sz w:val="24"/>
        </w:rPr>
        <w:t>The patient has registered with the practice or has been newly diagnosed with the condition in the last 9 months of the QOF year and has not achieved defined clinical standards</w:t>
      </w:r>
    </w:p>
    <w:p w:rsidR="004E2510" w:rsidRDefault="004E2510" w:rsidP="004E2510"/>
    <w:p w:rsidR="004E2510" w:rsidRDefault="004E2510" w:rsidP="004E2510">
      <w:pPr>
        <w:ind w:left="360"/>
      </w:pPr>
      <w:r>
        <w:t>Where a patient newly registers with a practice or is newly diagnosed with a clinical condition in the last 9 months of the QOF year (1 July – 31 March) this criteria applies automatically, unless the practice has achieved the defined clinical standards within the timeframe for the indicator.  This is because achievement automatically overrides any PCS (Exception Reporting)</w:t>
      </w:r>
    </w:p>
    <w:p w:rsidR="00797CBB" w:rsidRPr="006E1E73" w:rsidRDefault="00734A2E" w:rsidP="004E2510">
      <w:pPr>
        <w:ind w:left="720"/>
        <w:rPr>
          <w:b/>
          <w:sz w:val="28"/>
          <w:szCs w:val="28"/>
          <w:u w:val="single"/>
        </w:rPr>
      </w:pPr>
      <w:r w:rsidRPr="006E1E73">
        <w:rPr>
          <w:b/>
          <w:sz w:val="28"/>
          <w:szCs w:val="28"/>
          <w:u w:val="single"/>
        </w:rPr>
        <w:lastRenderedPageBreak/>
        <w:t xml:space="preserve">OPTIONS FOR </w:t>
      </w:r>
      <w:proofErr w:type="gramStart"/>
      <w:r w:rsidRPr="006E1E73">
        <w:rPr>
          <w:b/>
          <w:sz w:val="28"/>
          <w:szCs w:val="28"/>
          <w:u w:val="single"/>
        </w:rPr>
        <w:t>PRACTICES</w:t>
      </w:r>
      <w:r w:rsidR="00797CBB" w:rsidRPr="006E1E73">
        <w:rPr>
          <w:b/>
          <w:sz w:val="28"/>
          <w:szCs w:val="28"/>
          <w:u w:val="single"/>
        </w:rPr>
        <w:t xml:space="preserve"> :</w:t>
      </w:r>
      <w:proofErr w:type="gramEnd"/>
    </w:p>
    <w:p w:rsidR="00797CBB" w:rsidRPr="006E1E73" w:rsidRDefault="00797CBB" w:rsidP="00FB44CA">
      <w:pPr>
        <w:rPr>
          <w:b/>
          <w:sz w:val="28"/>
          <w:szCs w:val="28"/>
          <w:u w:val="single"/>
        </w:rPr>
      </w:pPr>
    </w:p>
    <w:p w:rsidR="00797CBB" w:rsidRPr="006E1E73" w:rsidRDefault="00734A2E" w:rsidP="00734A2E">
      <w:pPr>
        <w:pStyle w:val="ListParagraph"/>
        <w:numPr>
          <w:ilvl w:val="0"/>
          <w:numId w:val="11"/>
        </w:numPr>
        <w:rPr>
          <w:sz w:val="28"/>
          <w:szCs w:val="28"/>
        </w:rPr>
      </w:pPr>
      <w:r w:rsidRPr="006E1E73">
        <w:rPr>
          <w:sz w:val="28"/>
          <w:szCs w:val="28"/>
        </w:rPr>
        <w:t>Review your own in-house procedure for recalls</w:t>
      </w:r>
    </w:p>
    <w:p w:rsidR="006E1E73" w:rsidRPr="006E1E73" w:rsidRDefault="006E1E73" w:rsidP="00734A2E">
      <w:pPr>
        <w:pStyle w:val="ListParagraph"/>
        <w:numPr>
          <w:ilvl w:val="0"/>
          <w:numId w:val="11"/>
        </w:numPr>
        <w:rPr>
          <w:sz w:val="28"/>
          <w:szCs w:val="28"/>
        </w:rPr>
      </w:pPr>
      <w:r w:rsidRPr="006E1E73">
        <w:rPr>
          <w:sz w:val="28"/>
          <w:szCs w:val="28"/>
        </w:rPr>
        <w:t xml:space="preserve">Review patients that have already received invites and cease further invites based on findings </w:t>
      </w:r>
      <w:r>
        <w:rPr>
          <w:sz w:val="28"/>
          <w:szCs w:val="28"/>
        </w:rPr>
        <w:t>if appropriate and this fits with the expected criteria</w:t>
      </w:r>
    </w:p>
    <w:p w:rsidR="00734A2E" w:rsidRPr="006E1E73" w:rsidRDefault="00734A2E" w:rsidP="00734A2E">
      <w:pPr>
        <w:pStyle w:val="ListParagraph"/>
        <w:numPr>
          <w:ilvl w:val="0"/>
          <w:numId w:val="11"/>
        </w:numPr>
        <w:rPr>
          <w:sz w:val="28"/>
          <w:szCs w:val="28"/>
        </w:rPr>
      </w:pPr>
      <w:r w:rsidRPr="006E1E73">
        <w:rPr>
          <w:sz w:val="28"/>
          <w:szCs w:val="28"/>
        </w:rPr>
        <w:t>Work through the patients that you have already forwarded invites to and remove the invite read codes and replace with error entry code stipulating reason why</w:t>
      </w:r>
      <w:r w:rsidR="006E1E73">
        <w:rPr>
          <w:sz w:val="28"/>
          <w:szCs w:val="28"/>
        </w:rPr>
        <w:t xml:space="preserve">? </w:t>
      </w:r>
      <w:r w:rsidR="00736CE6">
        <w:rPr>
          <w:sz w:val="28"/>
          <w:szCs w:val="28"/>
        </w:rPr>
        <w:t>Re-invite following appropriate criteria</w:t>
      </w:r>
      <w:r w:rsidR="00FB44CA">
        <w:rPr>
          <w:sz w:val="28"/>
          <w:szCs w:val="28"/>
        </w:rPr>
        <w:t xml:space="preserve"> using more generalised invite read code, entering in text the specific recall i.e. “asthma, etc.” </w:t>
      </w:r>
    </w:p>
    <w:p w:rsidR="00734A2E" w:rsidRDefault="00734A2E" w:rsidP="00734A2E">
      <w:pPr>
        <w:pStyle w:val="ListParagraph"/>
        <w:numPr>
          <w:ilvl w:val="0"/>
          <w:numId w:val="11"/>
        </w:numPr>
        <w:rPr>
          <w:sz w:val="28"/>
          <w:szCs w:val="28"/>
        </w:rPr>
      </w:pPr>
      <w:r w:rsidRPr="006E1E73">
        <w:rPr>
          <w:sz w:val="28"/>
          <w:szCs w:val="28"/>
        </w:rPr>
        <w:t xml:space="preserve">Establish patients who are already </w:t>
      </w:r>
      <w:r w:rsidR="0053742E">
        <w:rPr>
          <w:sz w:val="28"/>
          <w:szCs w:val="28"/>
        </w:rPr>
        <w:t>“</w:t>
      </w:r>
      <w:proofErr w:type="gramStart"/>
      <w:r w:rsidRPr="006E1E73">
        <w:rPr>
          <w:sz w:val="28"/>
          <w:szCs w:val="28"/>
        </w:rPr>
        <w:t>excepted</w:t>
      </w:r>
      <w:proofErr w:type="gramEnd"/>
      <w:r w:rsidR="0053742E">
        <w:rPr>
          <w:sz w:val="28"/>
          <w:szCs w:val="28"/>
        </w:rPr>
        <w:t>”</w:t>
      </w:r>
      <w:r w:rsidRPr="006E1E73">
        <w:rPr>
          <w:sz w:val="28"/>
          <w:szCs w:val="28"/>
        </w:rPr>
        <w:t xml:space="preserve"> and </w:t>
      </w:r>
      <w:r w:rsidR="00736CE6">
        <w:rPr>
          <w:sz w:val="28"/>
          <w:szCs w:val="28"/>
        </w:rPr>
        <w:t>again work through options?</w:t>
      </w:r>
    </w:p>
    <w:p w:rsidR="00FB44CA" w:rsidRDefault="00FB44CA" w:rsidP="00734A2E">
      <w:pPr>
        <w:pStyle w:val="ListParagraph"/>
        <w:numPr>
          <w:ilvl w:val="0"/>
          <w:numId w:val="11"/>
        </w:numPr>
        <w:rPr>
          <w:sz w:val="28"/>
          <w:szCs w:val="28"/>
        </w:rPr>
      </w:pPr>
      <w:r>
        <w:rPr>
          <w:sz w:val="28"/>
          <w:szCs w:val="28"/>
        </w:rPr>
        <w:t>“Find &amp; Replace” read codes – this is currently being trialled – the practice trialling this is willing to share the outcome once completed</w:t>
      </w:r>
    </w:p>
    <w:p w:rsidR="0053742E" w:rsidRDefault="0053742E" w:rsidP="0053742E">
      <w:pPr>
        <w:ind w:left="360"/>
        <w:rPr>
          <w:sz w:val="28"/>
          <w:szCs w:val="28"/>
        </w:rPr>
      </w:pPr>
    </w:p>
    <w:p w:rsidR="003C5AE1" w:rsidRDefault="003C5AE1" w:rsidP="0053742E">
      <w:pPr>
        <w:ind w:left="360"/>
        <w:rPr>
          <w:sz w:val="28"/>
          <w:szCs w:val="28"/>
        </w:rPr>
      </w:pPr>
      <w:r>
        <w:rPr>
          <w:sz w:val="28"/>
          <w:szCs w:val="28"/>
        </w:rPr>
        <w:t>Additionally, I believe there is an option on systems for practices to utilise the Universal Offer “pop-ups”.  However, this would only cover the Universal Offer areas not all areas appertaining to QOF.  Practices would have to review this to see if it would be an option to utilise whilst reviewing their recall system.</w:t>
      </w:r>
    </w:p>
    <w:p w:rsidR="003C5AE1" w:rsidRDefault="003C5AE1" w:rsidP="0053742E">
      <w:pPr>
        <w:ind w:left="360"/>
        <w:rPr>
          <w:sz w:val="28"/>
          <w:szCs w:val="28"/>
        </w:rPr>
      </w:pPr>
      <w:r>
        <w:rPr>
          <w:sz w:val="28"/>
          <w:szCs w:val="28"/>
        </w:rPr>
        <w:t xml:space="preserve"> </w:t>
      </w:r>
    </w:p>
    <w:p w:rsidR="00734A2E" w:rsidRPr="006E1E73" w:rsidRDefault="00FC2B88" w:rsidP="00BB0D26">
      <w:pPr>
        <w:ind w:left="360"/>
        <w:rPr>
          <w:sz w:val="28"/>
          <w:szCs w:val="28"/>
        </w:rPr>
      </w:pPr>
      <w:r>
        <w:rPr>
          <w:sz w:val="28"/>
          <w:szCs w:val="28"/>
        </w:rPr>
        <w:t xml:space="preserve">We hope </w:t>
      </w:r>
      <w:r w:rsidR="0096743E">
        <w:rPr>
          <w:sz w:val="28"/>
          <w:szCs w:val="28"/>
        </w:rPr>
        <w:t xml:space="preserve">this guidance is helpful. </w:t>
      </w:r>
      <w:r w:rsidR="00BB0D26">
        <w:rPr>
          <w:sz w:val="28"/>
          <w:szCs w:val="28"/>
        </w:rPr>
        <w:t>The ab</w:t>
      </w:r>
      <w:r w:rsidR="0096743E">
        <w:rPr>
          <w:sz w:val="28"/>
          <w:szCs w:val="28"/>
        </w:rPr>
        <w:t>ove are recommendations only,</w:t>
      </w:r>
      <w:r w:rsidR="00BB0D26">
        <w:rPr>
          <w:sz w:val="28"/>
          <w:szCs w:val="28"/>
        </w:rPr>
        <w:t xml:space="preserve"> it is up to individual practices to determine exactly how they manage this i</w:t>
      </w:r>
      <w:r w:rsidR="0096743E">
        <w:rPr>
          <w:sz w:val="28"/>
          <w:szCs w:val="28"/>
        </w:rPr>
        <w:t xml:space="preserve">ssue going forward in order </w:t>
      </w:r>
      <w:r w:rsidR="00BB0D26">
        <w:rPr>
          <w:sz w:val="28"/>
          <w:szCs w:val="28"/>
        </w:rPr>
        <w:t xml:space="preserve">to ensure that </w:t>
      </w:r>
      <w:r w:rsidR="0096743E">
        <w:rPr>
          <w:sz w:val="28"/>
          <w:szCs w:val="28"/>
        </w:rPr>
        <w:t xml:space="preserve">both </w:t>
      </w:r>
      <w:r w:rsidR="00BB0D26">
        <w:rPr>
          <w:sz w:val="28"/>
          <w:szCs w:val="28"/>
        </w:rPr>
        <w:t>appropriate patient care is provided and QOF achievement maximised.</w:t>
      </w:r>
      <w:r w:rsidR="00BB0D26" w:rsidRPr="006E1E73">
        <w:rPr>
          <w:sz w:val="28"/>
          <w:szCs w:val="28"/>
        </w:rPr>
        <w:t xml:space="preserve"> </w:t>
      </w:r>
    </w:p>
    <w:p w:rsidR="00797CBB" w:rsidRPr="006E1E73" w:rsidRDefault="00797CBB" w:rsidP="004E2510">
      <w:pPr>
        <w:ind w:left="720"/>
        <w:rPr>
          <w:sz w:val="28"/>
          <w:szCs w:val="28"/>
        </w:rPr>
      </w:pPr>
    </w:p>
    <w:p w:rsidR="004E2510" w:rsidRPr="008572CF" w:rsidRDefault="004E2510" w:rsidP="004E2510">
      <w:pPr>
        <w:ind w:left="720"/>
      </w:pPr>
      <w:r>
        <w:t xml:space="preserve"> </w:t>
      </w:r>
    </w:p>
    <w:sectPr w:rsidR="004E2510" w:rsidRPr="008572CF" w:rsidSect="00FD19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1FF"/>
    <w:multiLevelType w:val="hybridMultilevel"/>
    <w:tmpl w:val="BB982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515B4"/>
    <w:multiLevelType w:val="hybridMultilevel"/>
    <w:tmpl w:val="DCF40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E101B"/>
    <w:multiLevelType w:val="hybridMultilevel"/>
    <w:tmpl w:val="D76CE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B1326"/>
    <w:multiLevelType w:val="hybridMultilevel"/>
    <w:tmpl w:val="A71C6C56"/>
    <w:lvl w:ilvl="0" w:tplc="69CC2458">
      <w:start w:val="1"/>
      <w:numFmt w:val="decimal"/>
      <w:lvlText w:val="%1"/>
      <w:lvlJc w:val="left"/>
      <w:pPr>
        <w:tabs>
          <w:tab w:val="num" w:pos="1211"/>
        </w:tabs>
        <w:ind w:left="1211" w:hanging="360"/>
      </w:pPr>
      <w:rPr>
        <w:rFonts w:ascii="Tahoma" w:hAnsi="Tahoma" w:cs="Times New Roman" w:hint="default"/>
        <w:b w:val="0"/>
        <w:i w:val="0"/>
        <w:sz w:val="20"/>
      </w:rPr>
    </w:lvl>
    <w:lvl w:ilvl="1" w:tplc="04090019">
      <w:start w:val="1"/>
      <w:numFmt w:val="lowerLetter"/>
      <w:lvlText w:val="%2."/>
      <w:lvlJc w:val="left"/>
      <w:pPr>
        <w:tabs>
          <w:tab w:val="num" w:pos="2291"/>
        </w:tabs>
        <w:ind w:left="2291" w:hanging="360"/>
      </w:pPr>
      <w:rPr>
        <w:rFonts w:cs="Times New Roman"/>
      </w:rPr>
    </w:lvl>
    <w:lvl w:ilvl="2" w:tplc="0409001B">
      <w:start w:val="1"/>
      <w:numFmt w:val="lowerRoman"/>
      <w:lvlText w:val="%3."/>
      <w:lvlJc w:val="right"/>
      <w:pPr>
        <w:tabs>
          <w:tab w:val="num" w:pos="3011"/>
        </w:tabs>
        <w:ind w:left="3011" w:hanging="180"/>
      </w:pPr>
      <w:rPr>
        <w:rFonts w:cs="Times New Roman"/>
      </w:rPr>
    </w:lvl>
    <w:lvl w:ilvl="3" w:tplc="0409000F">
      <w:start w:val="1"/>
      <w:numFmt w:val="decimal"/>
      <w:lvlText w:val="%4."/>
      <w:lvlJc w:val="left"/>
      <w:pPr>
        <w:tabs>
          <w:tab w:val="num" w:pos="3731"/>
        </w:tabs>
        <w:ind w:left="3731" w:hanging="360"/>
      </w:pPr>
      <w:rPr>
        <w:rFonts w:cs="Times New Roman"/>
      </w:rPr>
    </w:lvl>
    <w:lvl w:ilvl="4" w:tplc="04090019">
      <w:start w:val="1"/>
      <w:numFmt w:val="lowerLetter"/>
      <w:lvlText w:val="%5."/>
      <w:lvlJc w:val="left"/>
      <w:pPr>
        <w:tabs>
          <w:tab w:val="num" w:pos="4451"/>
        </w:tabs>
        <w:ind w:left="4451" w:hanging="360"/>
      </w:pPr>
      <w:rPr>
        <w:rFonts w:cs="Times New Roman"/>
      </w:rPr>
    </w:lvl>
    <w:lvl w:ilvl="5" w:tplc="0409001B">
      <w:start w:val="1"/>
      <w:numFmt w:val="lowerRoman"/>
      <w:lvlText w:val="%6."/>
      <w:lvlJc w:val="right"/>
      <w:pPr>
        <w:tabs>
          <w:tab w:val="num" w:pos="5171"/>
        </w:tabs>
        <w:ind w:left="5171" w:hanging="180"/>
      </w:pPr>
      <w:rPr>
        <w:rFonts w:cs="Times New Roman"/>
      </w:rPr>
    </w:lvl>
    <w:lvl w:ilvl="6" w:tplc="0409000F">
      <w:start w:val="1"/>
      <w:numFmt w:val="decimal"/>
      <w:lvlText w:val="%7."/>
      <w:lvlJc w:val="left"/>
      <w:pPr>
        <w:tabs>
          <w:tab w:val="num" w:pos="5891"/>
        </w:tabs>
        <w:ind w:left="5891" w:hanging="360"/>
      </w:pPr>
      <w:rPr>
        <w:rFonts w:cs="Times New Roman"/>
      </w:rPr>
    </w:lvl>
    <w:lvl w:ilvl="7" w:tplc="04090019">
      <w:start w:val="1"/>
      <w:numFmt w:val="lowerLetter"/>
      <w:lvlText w:val="%8."/>
      <w:lvlJc w:val="left"/>
      <w:pPr>
        <w:tabs>
          <w:tab w:val="num" w:pos="6611"/>
        </w:tabs>
        <w:ind w:left="6611" w:hanging="360"/>
      </w:pPr>
      <w:rPr>
        <w:rFonts w:cs="Times New Roman"/>
      </w:rPr>
    </w:lvl>
    <w:lvl w:ilvl="8" w:tplc="0409001B">
      <w:start w:val="1"/>
      <w:numFmt w:val="lowerRoman"/>
      <w:lvlText w:val="%9."/>
      <w:lvlJc w:val="right"/>
      <w:pPr>
        <w:tabs>
          <w:tab w:val="num" w:pos="7331"/>
        </w:tabs>
        <w:ind w:left="7331" w:hanging="180"/>
      </w:pPr>
      <w:rPr>
        <w:rFonts w:cs="Times New Roman"/>
      </w:rPr>
    </w:lvl>
  </w:abstractNum>
  <w:abstractNum w:abstractNumId="4" w15:restartNumberingAfterBreak="0">
    <w:nsid w:val="1D7E15F4"/>
    <w:multiLevelType w:val="hybridMultilevel"/>
    <w:tmpl w:val="B1BC1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919D6"/>
    <w:multiLevelType w:val="hybridMultilevel"/>
    <w:tmpl w:val="B4E69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A04024"/>
    <w:multiLevelType w:val="hybridMultilevel"/>
    <w:tmpl w:val="814A8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D0921"/>
    <w:multiLevelType w:val="hybridMultilevel"/>
    <w:tmpl w:val="48E04D9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0722F3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0E7CCE"/>
    <w:multiLevelType w:val="hybridMultilevel"/>
    <w:tmpl w:val="8E7EF88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F6A66E6"/>
    <w:multiLevelType w:val="hybridMultilevel"/>
    <w:tmpl w:val="07A6A9FC"/>
    <w:lvl w:ilvl="0" w:tplc="7A6054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9"/>
  </w:num>
  <w:num w:numId="5">
    <w:abstractNumId w:val="5"/>
  </w:num>
  <w:num w:numId="6">
    <w:abstractNumId w:val="4"/>
  </w:num>
  <w:num w:numId="7">
    <w:abstractNumId w:val="6"/>
  </w:num>
  <w:num w:numId="8">
    <w:abstractNumId w:val="10"/>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B2"/>
    <w:rsid w:val="00010AC7"/>
    <w:rsid w:val="00081314"/>
    <w:rsid w:val="000B55B3"/>
    <w:rsid w:val="00135099"/>
    <w:rsid w:val="001432A9"/>
    <w:rsid w:val="00172566"/>
    <w:rsid w:val="00201603"/>
    <w:rsid w:val="00253E14"/>
    <w:rsid w:val="002E0D0D"/>
    <w:rsid w:val="003150CA"/>
    <w:rsid w:val="003C5AE1"/>
    <w:rsid w:val="004E2510"/>
    <w:rsid w:val="00507F9E"/>
    <w:rsid w:val="0053742E"/>
    <w:rsid w:val="005B3B56"/>
    <w:rsid w:val="00611BA1"/>
    <w:rsid w:val="00612FEF"/>
    <w:rsid w:val="006B35D8"/>
    <w:rsid w:val="006E1E73"/>
    <w:rsid w:val="00734A2E"/>
    <w:rsid w:val="00736CE6"/>
    <w:rsid w:val="007424D5"/>
    <w:rsid w:val="00760FA0"/>
    <w:rsid w:val="00797CBB"/>
    <w:rsid w:val="008572CF"/>
    <w:rsid w:val="00882B4C"/>
    <w:rsid w:val="00882E1F"/>
    <w:rsid w:val="008B0DEE"/>
    <w:rsid w:val="008E2A51"/>
    <w:rsid w:val="0096743E"/>
    <w:rsid w:val="00A46850"/>
    <w:rsid w:val="00A4795D"/>
    <w:rsid w:val="00AB4942"/>
    <w:rsid w:val="00AC3141"/>
    <w:rsid w:val="00AC524D"/>
    <w:rsid w:val="00B05D5D"/>
    <w:rsid w:val="00B94FF6"/>
    <w:rsid w:val="00BB0D26"/>
    <w:rsid w:val="00C566F3"/>
    <w:rsid w:val="00E32E39"/>
    <w:rsid w:val="00E45FFC"/>
    <w:rsid w:val="00EE17F9"/>
    <w:rsid w:val="00F42179"/>
    <w:rsid w:val="00FB44CA"/>
    <w:rsid w:val="00FB5EDC"/>
    <w:rsid w:val="00FC2B88"/>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E883D-C76B-473B-A2A7-2F98DB7D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9B2"/>
    <w:pPr>
      <w:spacing w:after="0" w:line="240" w:lineRule="auto"/>
    </w:pPr>
    <w:rPr>
      <w:rFonts w:ascii="Arial" w:eastAsia="Times New Roman" w:hAnsi="Arial" w:cs="Times New Roman"/>
      <w:sz w:val="20"/>
      <w:szCs w:val="24"/>
    </w:rPr>
  </w:style>
  <w:style w:type="paragraph" w:styleId="Heading5">
    <w:name w:val="heading 5"/>
    <w:basedOn w:val="Normal"/>
    <w:next w:val="Normal"/>
    <w:link w:val="Heading5Char"/>
    <w:qFormat/>
    <w:rsid w:val="00010AC7"/>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19B2"/>
    <w:rPr>
      <w:color w:val="404040" w:themeColor="text1" w:themeTint="BF"/>
      <w:u w:val="single"/>
    </w:rPr>
  </w:style>
  <w:style w:type="paragraph" w:styleId="ListParagraph">
    <w:name w:val="List Paragraph"/>
    <w:basedOn w:val="Normal"/>
    <w:uiPriority w:val="34"/>
    <w:qFormat/>
    <w:rsid w:val="008572CF"/>
    <w:pPr>
      <w:ind w:left="720"/>
      <w:contextualSpacing/>
    </w:pPr>
  </w:style>
  <w:style w:type="character" w:customStyle="1" w:styleId="Heading5Char">
    <w:name w:val="Heading 5 Char"/>
    <w:basedOn w:val="DefaultParagraphFont"/>
    <w:link w:val="Heading5"/>
    <w:rsid w:val="00010AC7"/>
    <w:rPr>
      <w:rFonts w:ascii="Arial" w:eastAsia="Times New Roman" w:hAnsi="Arial" w:cs="Times New Roman"/>
      <w:b/>
      <w:color w:val="0060B8"/>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Loveridge</dc:creator>
  <cp:keywords/>
  <dc:description/>
  <cp:lastModifiedBy>Wendy Loveridge</cp:lastModifiedBy>
  <cp:revision>3</cp:revision>
  <dcterms:created xsi:type="dcterms:W3CDTF">2019-11-07T14:09:00Z</dcterms:created>
  <dcterms:modified xsi:type="dcterms:W3CDTF">2019-11-07T15:40:00Z</dcterms:modified>
</cp:coreProperties>
</file>