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4CD" w:rsidRPr="00BA635C" w:rsidRDefault="00BA635C">
      <w:pPr>
        <w:spacing w:before="46" w:line="247" w:lineRule="auto"/>
        <w:ind w:left="297" w:right="7499"/>
        <w:rPr>
          <w:sz w:val="20"/>
          <w:szCs w:val="20"/>
        </w:rPr>
      </w:pPr>
      <w:r w:rsidRPr="00BA635C">
        <w:rPr>
          <w:sz w:val="20"/>
          <w:szCs w:val="20"/>
        </w:rPr>
        <w:pict>
          <v:group id="_x0000_s1028" style="position:absolute;left:0;text-align:left;margin-left:.55pt;margin-top:752.7pt;width:594.45pt;height:89.35pt;z-index:-3760;mso-position-horizontal-relative:page;mso-position-vertical-relative:page" coordorigin="11,15054" coordsize="11889,1787">
            <v:rect id="_x0000_s1035" style="position:absolute;left:11;top:15490;width:11889;height:1351" fillcolor="#00a8e3" stroked="f"/>
            <v:shape id="_x0000_s1034" style="position:absolute;left:9293;top:15054;width:849;height:849" coordorigin="9293,15054" coordsize="849,849" path="m9718,15054r-76,7l9570,15081r-66,31l9444,15154r-51,51l9351,15264r-31,66l9300,15402r-7,76l9300,15555r20,72l9351,15693r42,59l9444,15803r60,42l9570,15876r72,20l9718,15903r76,-7l9866,15876r66,-31l9991,15803r51,-51l10084,15693r31,-66l10135,15555r7,-77l10135,15402r-20,-72l10084,15264r-42,-59l9991,15154r-59,-42l9866,15081r-72,-20l9718,15054xe" fillcolor="#043673" stroked="f">
              <v:path arrowok="t"/>
            </v:shape>
            <v:shape id="_x0000_s1033" style="position:absolute;left:9505;top:15496;width:472;height:265" coordorigin="9505,15496" coordsize="472,265" o:spt="100" adj="0,,0" path="m9635,15655r-83,l9534,15659r-15,10l9509,15684r-4,18l9505,15715r5,12l9522,15739r4,2l9530,15744r2,-11l9541,15726r94,l9635,15655t118,-35l9682,15620r,106l9685,15740r8,11l9704,15759r14,2l9731,15759r12,-8l9750,15740r3,-14l9753,15620t154,46l9902,15654r-12,-12l9886,15640r-4,-3l9880,15648r-10,7l9800,15655r,71l9859,15726r18,-3l9892,15712r11,-14l9907,15679r,-13m9977,15632r-9,-46l9943,15548r-38,-25l9859,15513r-294,l9556,15506r-3,-10l9549,15498r-3,2l9543,15504r-9,9l9529,15524r,13l9533,15556r10,15l9558,15581r18,3l9859,15584r19,2l9895,15592r16,8l9926,15612r11,15l9946,15643r6,18l9953,15679r,10l9951,15699r-3,9l9961,15692r9,-19l9975,15653r2,-21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9458;top:15372;width:177;height:194">
              <v:imagedata r:id="rId4" o:title=""/>
            </v:shape>
            <v:shape id="_x0000_s1031" style="position:absolute;left:9505;top:15200;width:472;height:278" coordorigin="9505,15201" coordsize="472,278" o:spt="100" adj="0,,0" path="m9753,15373r-3,-14l9743,15347r-12,-8l9718,15337r-14,2l9693,15347r-8,12l9682,15373r,105l9753,15478r,-105m9907,15396r-2,-13l9900,15372r-8,-10l9882,15355r-2,10l9870,15373r-70,l9800,15444r59,l9877,15440r15,-11l9903,15414r4,-18m9977,15349r-9,-46l9944,15266r,-1l9910,15240r-39,-9l9694,15231r-17,-13l9662,15208r-14,-5l9635,15201r,38l9635,15258r-8,8l9608,15266r-8,-8l9600,15239r8,-8l9627,15231r8,8l9635,15201r-15,1l9607,15206r-15,8l9570,15225r-25,12l9525,15248r-14,9l9505,15266r3,13l9517,15290r18,9l9564,15302r295,l9896,15309r30,20l9946,15359r7,37l9953,15407r-2,9l9948,15426r13,-17l9970,15390r5,-20l9977,15349e" stroked="f">
              <v:stroke joinstyle="round"/>
              <v:formulas/>
              <v:path arrowok="t" o:connecttype="segments"/>
            </v:shape>
            <v:shape id="_x0000_s1030" type="#_x0000_t75" style="position:absolute;left:9309;top:16360;width:744;height:139">
              <v:imagedata r:id="rId5" o:title=""/>
            </v:shape>
            <v:shape id="_x0000_s1029" type="#_x0000_t75" style="position:absolute;left:9310;top:16160;width:1908;height:110">
              <v:imagedata r:id="rId6" o:title=""/>
            </v:shape>
            <w10:wrap anchorx="page" anchory="page"/>
          </v:group>
        </w:pict>
      </w:r>
      <w:r w:rsidRPr="00BA635C">
        <w:rPr>
          <w:sz w:val="20"/>
          <w:szCs w:val="20"/>
        </w:rPr>
        <w:pict>
          <v:shape id="_x0000_s1027" style="position:absolute;left:0;text-align:left;margin-left:465pt;margin-top:34pt;width:95pt;height:34.15pt;z-index:1048;mso-position-horizontal-relative:page;mso-position-vertical-relative:page" coordorigin="9300,680" coordsize="1900,683" o:spt="100" adj="0,,0" path="m9804,1169r-2,-30l9796,1112r-10,-26l9778,1071r-5,-9l9754,1043r-20,-17l9710,1012r-26,-11l9702,988r16,-13l9733,960r,l9746,944r8,-18l9761,907r4,-21l9766,864r-1,-21l9762,823r-5,-19l9754,796r-4,-9l9741,770r-11,-15l9717,741r-14,-13l9688,717r-17,-10l9666,705r,460l9666,1175r-3,9l9660,1194r-5,9l9649,1212r-7,7l9633,1226r-10,7l9614,1238r-11,4l9589,1242r-11,2l9565,1245r-15,1l9533,1247r-97,l9436,1071r95,l9544,1071r12,1l9568,1072r10,2l9592,1076r11,5l9614,1087r13,7l9637,1102r9,9l9653,1121r6,11l9663,1143r3,11l9666,1165r,-460l9652,699r-20,-8l9628,690r,190l9627,890r-2,10l9621,909r-4,10l9609,928r-8,9l9590,944r-12,7l9571,953r-9,2l9547,958r-11,l9515,960r-11,l9436,960r,-164l9510,796r7,2l9547,798r4,3l9558,801r4,2l9565,803r14,6l9592,816r11,9l9612,835r7,10l9624,856r3,11l9628,880r,-190l9612,687r-22,-4l9567,681r-25,-1l9300,680r,683l9578,1363r14,-1l9605,1361r14,-1l9632,1358r14,-2l9658,1353r12,-3l9682,1347r29,-14l9736,1316r22,-19l9775,1274r13,-25l9789,1247r8,-24l9803,1197r1,-28m10528,680r-142,l10205,1135r-70,-159l10006,680r-143,l9863,1363r136,l9999,976r124,271l10140,1282r17,25l10176,1323r26,6l10229,1323r19,-16l10264,1282r15,-35l10327,1135r65,-155l10392,1363r136,l10528,980r,-300m11200,1363r-49,-137l11109,1110r-82,-225l10969,724r,386l10809,1110r79,-225l10969,1110r,-386l10953,680r-74,l10856,684r-21,10l10818,709r-12,19l10578,1363r138,l10766,1226r246,l11062,1363r138,e" fillcolor="#043673" stroked="f">
            <v:stroke joinstyle="round"/>
            <v:formulas/>
            <v:path arrowok="t" o:connecttype="segments"/>
            <w10:wrap anchorx="page" anchory="page"/>
          </v:shape>
        </w:pict>
      </w:r>
      <w:r w:rsidRPr="00BA635C">
        <w:rPr>
          <w:color w:val="12306D"/>
          <w:sz w:val="20"/>
          <w:szCs w:val="20"/>
        </w:rPr>
        <w:t>BMA House Tavistock Square London WC1H 9JP</w:t>
      </w:r>
    </w:p>
    <w:p w:rsidR="008814CD" w:rsidRPr="00BA635C" w:rsidRDefault="008814CD">
      <w:pPr>
        <w:pStyle w:val="BodyText"/>
        <w:spacing w:before="2"/>
      </w:pPr>
    </w:p>
    <w:p w:rsidR="008814CD" w:rsidRPr="00BA635C" w:rsidRDefault="00BA635C">
      <w:pPr>
        <w:spacing w:before="1"/>
        <w:ind w:left="297"/>
        <w:rPr>
          <w:sz w:val="20"/>
          <w:szCs w:val="20"/>
        </w:rPr>
      </w:pPr>
      <w:r w:rsidRPr="00BA635C">
        <w:rPr>
          <w:b/>
          <w:color w:val="12306D"/>
          <w:sz w:val="20"/>
          <w:szCs w:val="20"/>
        </w:rPr>
        <w:t xml:space="preserve">T </w:t>
      </w:r>
      <w:r w:rsidRPr="00BA635C">
        <w:rPr>
          <w:color w:val="12306D"/>
          <w:sz w:val="20"/>
          <w:szCs w:val="20"/>
        </w:rPr>
        <w:t>020 7874 7351</w:t>
      </w:r>
    </w:p>
    <w:p w:rsidR="008814CD" w:rsidRPr="00BA635C" w:rsidRDefault="008814CD">
      <w:pPr>
        <w:pStyle w:val="BodyText"/>
        <w:spacing w:before="8"/>
      </w:pPr>
    </w:p>
    <w:p w:rsidR="008814CD" w:rsidRPr="00BA635C" w:rsidRDefault="00BA635C">
      <w:pPr>
        <w:ind w:left="297"/>
        <w:rPr>
          <w:sz w:val="20"/>
          <w:szCs w:val="20"/>
        </w:rPr>
      </w:pPr>
      <w:r w:rsidRPr="00BA635C">
        <w:rPr>
          <w:b/>
          <w:color w:val="12306D"/>
          <w:sz w:val="20"/>
          <w:szCs w:val="20"/>
        </w:rPr>
        <w:t>E</w:t>
      </w:r>
      <w:r w:rsidRPr="00BA635C">
        <w:rPr>
          <w:b/>
          <w:color w:val="12306D"/>
          <w:spacing w:val="-7"/>
          <w:sz w:val="20"/>
          <w:szCs w:val="20"/>
        </w:rPr>
        <w:t xml:space="preserve"> </w:t>
      </w:r>
      <w:hyperlink r:id="rId7">
        <w:r w:rsidRPr="00BA635C">
          <w:rPr>
            <w:color w:val="12306D"/>
            <w:sz w:val="20"/>
            <w:szCs w:val="20"/>
          </w:rPr>
          <w:t>mloizou@bma.org.uk</w:t>
        </w:r>
      </w:hyperlink>
    </w:p>
    <w:p w:rsidR="008814CD" w:rsidRDefault="008814CD">
      <w:pPr>
        <w:pStyle w:val="BodyText"/>
        <w:rPr>
          <w:sz w:val="16"/>
        </w:rPr>
      </w:pPr>
    </w:p>
    <w:p w:rsidR="008814CD" w:rsidRDefault="008814CD">
      <w:pPr>
        <w:pStyle w:val="BodyText"/>
        <w:rPr>
          <w:sz w:val="16"/>
        </w:rPr>
      </w:pPr>
    </w:p>
    <w:p w:rsidR="008814CD" w:rsidRDefault="008814CD">
      <w:pPr>
        <w:pStyle w:val="BodyText"/>
        <w:rPr>
          <w:sz w:val="16"/>
        </w:rPr>
      </w:pPr>
    </w:p>
    <w:p w:rsidR="008814CD" w:rsidRDefault="008814CD">
      <w:pPr>
        <w:pStyle w:val="BodyText"/>
        <w:rPr>
          <w:sz w:val="16"/>
        </w:rPr>
      </w:pPr>
    </w:p>
    <w:p w:rsidR="008814CD" w:rsidRDefault="008814CD">
      <w:pPr>
        <w:pStyle w:val="BodyText"/>
        <w:rPr>
          <w:sz w:val="16"/>
        </w:rPr>
      </w:pPr>
    </w:p>
    <w:p w:rsidR="008814CD" w:rsidRDefault="008814CD">
      <w:pPr>
        <w:pStyle w:val="BodyText"/>
        <w:rPr>
          <w:sz w:val="16"/>
        </w:rPr>
      </w:pPr>
    </w:p>
    <w:p w:rsidR="008814CD" w:rsidRDefault="008814CD">
      <w:pPr>
        <w:pStyle w:val="BodyText"/>
        <w:spacing w:before="9"/>
        <w:rPr>
          <w:sz w:val="19"/>
        </w:rPr>
      </w:pPr>
    </w:p>
    <w:p w:rsidR="008814CD" w:rsidRDefault="00BA635C">
      <w:pPr>
        <w:pStyle w:val="BodyText"/>
        <w:ind w:left="297"/>
      </w:pPr>
      <w:r>
        <w:t>13 December</w:t>
      </w:r>
      <w:r>
        <w:rPr>
          <w:spacing w:val="-8"/>
        </w:rPr>
        <w:t xml:space="preserve"> </w:t>
      </w:r>
      <w:r>
        <w:t>2019</w:t>
      </w:r>
    </w:p>
    <w:p w:rsidR="008814CD" w:rsidRDefault="008814CD">
      <w:pPr>
        <w:pStyle w:val="BodyText"/>
        <w:spacing w:before="9"/>
        <w:rPr>
          <w:sz w:val="29"/>
        </w:rPr>
      </w:pPr>
    </w:p>
    <w:p w:rsidR="008814CD" w:rsidRDefault="00BA635C">
      <w:pPr>
        <w:pStyle w:val="Heading1"/>
        <w:spacing w:before="0"/>
      </w:pPr>
      <w:r>
        <w:t>Dear Colleagues,</w:t>
      </w:r>
    </w:p>
    <w:p w:rsidR="008814CD" w:rsidRDefault="00BA635C">
      <w:pPr>
        <w:spacing w:before="121"/>
        <w:ind w:left="297"/>
        <w:rPr>
          <w:b/>
          <w:sz w:val="20"/>
        </w:rPr>
      </w:pPr>
      <w:r>
        <w:rPr>
          <w:b/>
          <w:sz w:val="20"/>
        </w:rPr>
        <w:t>BMA Legal action against NHS Property Services – Service and Facilities Management Charges</w:t>
      </w:r>
    </w:p>
    <w:p w:rsidR="008814CD" w:rsidRDefault="00BA635C">
      <w:pPr>
        <w:pStyle w:val="BodyText"/>
        <w:spacing w:before="120"/>
        <w:ind w:left="297" w:right="130"/>
      </w:pPr>
      <w:r>
        <w:t>As you know, over the last three years many practices have seen significant increases in service charges and facilities management costs without prior agreement whil</w:t>
      </w:r>
      <w:r>
        <w:t>e some report being billed for services they are not receiving. This si</w:t>
      </w:r>
      <w:bookmarkStart w:id="0" w:name="_GoBack"/>
      <w:bookmarkEnd w:id="0"/>
      <w:r>
        <w:t>tuation is placing unsustainable pressure on practices and is essentially diverting precious resources away from patient care. Furthermore, we know that this it is destabilising the fut</w:t>
      </w:r>
      <w:r>
        <w:t>ure of practices as many young doctors are discouraged from becoming GP partners where this issue remains unresolved. The overall impact of this ongoing dispute is having a devastating effect on the profession.</w:t>
      </w:r>
    </w:p>
    <w:p w:rsidR="008814CD" w:rsidRDefault="00BA635C">
      <w:pPr>
        <w:pStyle w:val="BodyText"/>
        <w:spacing w:before="120"/>
        <w:ind w:left="297" w:right="686"/>
      </w:pPr>
      <w:r>
        <w:t>The BMA has repeatedly pressed NHSPS to cease</w:t>
      </w:r>
      <w:r>
        <w:t xml:space="preserve"> its inflated demands and to provide a proper explanation for the charges. Unfortunately, discussions and negotiations have reached a standstill.</w:t>
      </w:r>
    </w:p>
    <w:p w:rsidR="008814CD" w:rsidRDefault="00BA635C">
      <w:pPr>
        <w:pStyle w:val="BodyText"/>
        <w:spacing w:before="119"/>
        <w:ind w:left="297" w:right="261"/>
      </w:pPr>
      <w:r>
        <w:t>Consequently, the BMA wrote to NHSPS earlier this year, setting out why it believes NHSPS is acting unlawfully but received no acceptable response. Therefore, as announced at the Annual Representative Meeting in Belfast in June this year, the BMA is now ta</w:t>
      </w:r>
      <w:r>
        <w:t>king NHSPS to court.</w:t>
      </w:r>
    </w:p>
    <w:p w:rsidR="008814CD" w:rsidRDefault="00BA635C">
      <w:pPr>
        <w:pStyle w:val="Heading1"/>
        <w:spacing w:before="122"/>
      </w:pPr>
      <w:r>
        <w:t>Background</w:t>
      </w:r>
    </w:p>
    <w:p w:rsidR="008814CD" w:rsidRDefault="00BA635C">
      <w:pPr>
        <w:pStyle w:val="BodyText"/>
        <w:spacing w:before="118"/>
        <w:ind w:left="297" w:right="130"/>
      </w:pPr>
      <w:r>
        <w:t xml:space="preserve">NHS Property Services (‘NHSPS’) is a company wholly owned by the Secretary of State for Health and Social Care. NHSPS was established as part of reforms to the health system to manage, maintain and improve NHS properties in </w:t>
      </w:r>
      <w:r>
        <w:t>England and facilities previously owned by strategic health authorities and primary care trusts. It began activity in April 2013. As at 2017, 822 GP surgeries in England leased their premises from NHSPS.</w:t>
      </w:r>
    </w:p>
    <w:p w:rsidR="008814CD" w:rsidRDefault="00BA635C">
      <w:pPr>
        <w:pStyle w:val="BodyText"/>
        <w:spacing w:before="121"/>
        <w:ind w:left="297" w:right="261"/>
      </w:pPr>
      <w:r>
        <w:t xml:space="preserve">Since 2016, many GP practices have received payment </w:t>
      </w:r>
      <w:r>
        <w:t xml:space="preserve">demands from NHSPS for non-reimbursable service charges for amounts significantly greater than those historically paid. The BMA raised the issue with NHSPS and sought an explanation for the increased charges and a stop to their demands. NHSPS’ explanation </w:t>
      </w:r>
      <w:r>
        <w:t>for the dramatic increases was rooted in their policy ambition to change to a ‘full-cost recovery’ approach to the charges.</w:t>
      </w:r>
    </w:p>
    <w:p w:rsidR="008814CD" w:rsidRDefault="00BA635C">
      <w:pPr>
        <w:pStyle w:val="BodyText"/>
        <w:spacing w:before="121"/>
        <w:ind w:left="297" w:right="116"/>
      </w:pPr>
      <w:r>
        <w:t>In meetings over the last few years, the BMA pressed NHSPS to cease its inflated demands and to provide a proper explanation for the</w:t>
      </w:r>
      <w:r>
        <w:t xml:space="preserve"> charges. Unfortunately, discussions and negotiations have reached an impasse.</w:t>
      </w:r>
    </w:p>
    <w:p w:rsidR="008814CD" w:rsidRDefault="00BA635C">
      <w:pPr>
        <w:pStyle w:val="Heading1"/>
        <w:spacing w:before="120"/>
      </w:pPr>
      <w:r>
        <w:t>Legal Action</w:t>
      </w:r>
    </w:p>
    <w:p w:rsidR="008814CD" w:rsidRDefault="00BA635C">
      <w:pPr>
        <w:pStyle w:val="BodyText"/>
        <w:spacing w:before="121"/>
        <w:ind w:left="297" w:right="449"/>
      </w:pPr>
      <w:r>
        <w:t xml:space="preserve">The BMA instructed lawyers to request that NHSPS stops its unlawful demands and provides a proper </w:t>
      </w:r>
      <w:proofErr w:type="gramStart"/>
      <w:r>
        <w:t>explanation</w:t>
      </w:r>
      <w:proofErr w:type="gramEnd"/>
      <w:r>
        <w:t xml:space="preserve"> for the basis of the inflated charges.</w:t>
      </w:r>
    </w:p>
    <w:p w:rsidR="008814CD" w:rsidRDefault="00BA635C">
      <w:pPr>
        <w:pStyle w:val="BodyText"/>
        <w:spacing w:before="119"/>
        <w:ind w:left="297"/>
      </w:pPr>
      <w:r>
        <w:t>NHSPS’ explanat</w:t>
      </w:r>
      <w:r>
        <w:t>ion for the inflated charges was unsatisfactory and, in our assessment, had no sound</w:t>
      </w:r>
    </w:p>
    <w:p w:rsidR="008814CD" w:rsidRDefault="00BA635C">
      <w:pPr>
        <w:pStyle w:val="BodyText"/>
        <w:spacing w:before="1" w:line="243" w:lineRule="exact"/>
        <w:ind w:left="297"/>
      </w:pPr>
      <w:proofErr w:type="gramStart"/>
      <w:r>
        <w:t>legal</w:t>
      </w:r>
      <w:proofErr w:type="gramEnd"/>
      <w:r>
        <w:t xml:space="preserve"> basis. NHSPS argued it was entitled to charge service charges based on its Consolidated Charging</w:t>
      </w:r>
    </w:p>
    <w:p w:rsidR="008814CD" w:rsidRDefault="00BA635C">
      <w:pPr>
        <w:pStyle w:val="BodyText"/>
        <w:spacing w:line="243" w:lineRule="exact"/>
        <w:ind w:left="297"/>
      </w:pPr>
      <w:r>
        <w:t>Policy (‘the Policy’). However, in our view, it could not adequately</w:t>
      </w:r>
      <w:r>
        <w:t xml:space="preserve"> explain how the Policy became part of</w:t>
      </w:r>
    </w:p>
    <w:p w:rsidR="008814CD" w:rsidRDefault="00BA635C">
      <w:pPr>
        <w:pStyle w:val="BodyText"/>
        <w:ind w:left="297"/>
      </w:pPr>
      <w:proofErr w:type="gramStart"/>
      <w:r>
        <w:t>practices</w:t>
      </w:r>
      <w:proofErr w:type="gramEnd"/>
      <w:r>
        <w:t>’ tenancy agreements. If the Policy is not part of the tenancy agreement it cannot be relied on by</w:t>
      </w:r>
    </w:p>
    <w:p w:rsidR="008814CD" w:rsidRDefault="008814CD">
      <w:pPr>
        <w:pStyle w:val="BodyText"/>
      </w:pPr>
    </w:p>
    <w:p w:rsidR="008814CD" w:rsidRDefault="008814CD">
      <w:pPr>
        <w:pStyle w:val="BodyText"/>
        <w:spacing w:before="10"/>
      </w:pPr>
    </w:p>
    <w:p w:rsidR="008814CD" w:rsidRDefault="00BA635C">
      <w:pPr>
        <w:spacing w:before="69"/>
        <w:ind w:left="287"/>
        <w:rPr>
          <w:sz w:val="16"/>
        </w:rPr>
      </w:pPr>
      <w:r>
        <w:rPr>
          <w:b/>
          <w:color w:val="001F5F"/>
          <w:sz w:val="16"/>
        </w:rPr>
        <w:t xml:space="preserve">Chief executive officer: </w:t>
      </w:r>
      <w:r>
        <w:rPr>
          <w:color w:val="001F5F"/>
          <w:sz w:val="16"/>
        </w:rPr>
        <w:t xml:space="preserve">Tom </w:t>
      </w:r>
      <w:proofErr w:type="spellStart"/>
      <w:r>
        <w:rPr>
          <w:color w:val="001F5F"/>
          <w:sz w:val="16"/>
        </w:rPr>
        <w:t>Grinyer</w:t>
      </w:r>
      <w:proofErr w:type="spellEnd"/>
    </w:p>
    <w:p w:rsidR="008814CD" w:rsidRDefault="008814CD">
      <w:pPr>
        <w:pStyle w:val="BodyText"/>
        <w:spacing w:before="7"/>
        <w:rPr>
          <w:sz w:val="18"/>
        </w:rPr>
      </w:pPr>
    </w:p>
    <w:p w:rsidR="008814CD" w:rsidRDefault="00BA635C">
      <w:pPr>
        <w:spacing w:line="285" w:lineRule="auto"/>
        <w:ind w:left="287" w:right="4602"/>
        <w:rPr>
          <w:sz w:val="13"/>
        </w:rPr>
      </w:pPr>
      <w:r>
        <w:rPr>
          <w:color w:val="001F5F"/>
          <w:sz w:val="13"/>
        </w:rPr>
        <w:t>Registered as a Company limited by Guarantee. Registered No. 8848 England. Registered office: BMA House, Tavistock Square, London, WC1H 9JP.</w:t>
      </w:r>
    </w:p>
    <w:p w:rsidR="008814CD" w:rsidRDefault="00BA635C">
      <w:pPr>
        <w:spacing w:before="4"/>
        <w:ind w:left="287"/>
        <w:rPr>
          <w:sz w:val="13"/>
        </w:rPr>
      </w:pPr>
      <w:r>
        <w:rPr>
          <w:color w:val="001F5F"/>
          <w:sz w:val="13"/>
        </w:rPr>
        <w:t>Listed as a Trade Union under the Trade Union and Labour Relations Act 1974.</w:t>
      </w:r>
    </w:p>
    <w:p w:rsidR="008814CD" w:rsidRDefault="008814CD">
      <w:pPr>
        <w:rPr>
          <w:sz w:val="13"/>
        </w:rPr>
        <w:sectPr w:rsidR="008814CD">
          <w:type w:val="continuous"/>
          <w:pgSz w:w="11900" w:h="16850"/>
          <w:pgMar w:top="600" w:right="1440" w:bottom="0" w:left="1460" w:header="720" w:footer="720" w:gutter="0"/>
          <w:cols w:space="720"/>
        </w:sectPr>
      </w:pPr>
    </w:p>
    <w:p w:rsidR="008814CD" w:rsidRDefault="00BA635C">
      <w:pPr>
        <w:pStyle w:val="BodyText"/>
      </w:pPr>
      <w:r>
        <w:lastRenderedPageBreak/>
        <w:pict>
          <v:shape id="_x0000_s1026" style="position:absolute;margin-left:518.85pt;margin-top:34.2pt;width:41.85pt;height:15.05pt;z-index:1096;mso-position-horizontal-relative:page;mso-position-vertical-relative:page" coordorigin="10377,684" coordsize="837,301" o:spt="100" adj="0,,0" path="m10599,899r-1,-13l10596,874r-5,-12l10588,856r-3,-4l10577,844r-9,-8l10558,830r-12,-5l10557,818r9,-8l10568,807r5,-7l10579,790r3,-12l10582,752r-2,-11l10577,735r-7,-14l10563,712r-9,-7l10546,698r-8,-4l10538,891r,12l10536,908r-3,6l10530,919r-5,4l10519,927r-4,2l10510,931r-5,l10499,932r-8,1l10437,933r,-77l10494,856r12,2l10510,860r5,3l10523,866r5,6l10536,884r2,7l10538,694r-3,-1l10523,689r-2,l10521,764r,14l10519,783r-3,6l10512,795r-4,4l10500,803r-3,1l10493,805r-7,1l10480,806r-6,1l10437,807r,-72l10470,735r3,1l10486,736r2,1l10491,737r2,1l10494,738r9,3l10510,746r9,12l10521,764r,-75l10514,687r-9,-2l10494,684r-10,l10377,684r,300l10508,984r23,-3l10545,977r13,-6l10569,964r10,-9l10586,945r6,-11l10592,933r4,-10l10598,911r1,-12m10918,684r-63,l10776,884r-31,-70l10688,684r-63,l10625,984r60,l10685,814r55,119l10747,948r7,12l10763,967r12,2l10786,967r9,-7l10802,948r6,-15l10829,884r29,-68l10858,984r60,l10918,816r,-132m11214,984r-22,-60l11174,873r-36,-99l11112,703r,170l11042,873r34,-99l11112,873r,-170l11105,684r-46,l11046,693r-5,12l10940,984r61,l11023,924r108,l11153,984r61,e" fillcolor="#043673" stroked="f">
            <v:stroke joinstyle="round"/>
            <v:formulas/>
            <v:path arrowok="t" o:connecttype="segments"/>
            <w10:wrap anchorx="page" anchory="page"/>
          </v:shape>
        </w:pict>
      </w:r>
    </w:p>
    <w:p w:rsidR="008814CD" w:rsidRDefault="008814CD">
      <w:pPr>
        <w:pStyle w:val="BodyText"/>
      </w:pPr>
    </w:p>
    <w:p w:rsidR="008814CD" w:rsidRDefault="008814CD">
      <w:pPr>
        <w:pStyle w:val="BodyText"/>
      </w:pPr>
    </w:p>
    <w:p w:rsidR="008814CD" w:rsidRDefault="008814CD">
      <w:pPr>
        <w:pStyle w:val="BodyText"/>
        <w:spacing w:before="9"/>
        <w:rPr>
          <w:sz w:val="18"/>
        </w:rPr>
      </w:pPr>
    </w:p>
    <w:p w:rsidR="008814CD" w:rsidRDefault="00BA635C">
      <w:pPr>
        <w:pStyle w:val="BodyText"/>
        <w:spacing w:before="59"/>
        <w:ind w:left="297"/>
      </w:pPr>
      <w:r>
        <w:t>NHSPS to calculate and demand charges; charges can only be calculated and demanded on terms agreed between the practice and NHSPS.</w:t>
      </w:r>
    </w:p>
    <w:p w:rsidR="008814CD" w:rsidRDefault="00BA635C">
      <w:pPr>
        <w:pStyle w:val="BodyText"/>
        <w:spacing w:before="121"/>
        <w:ind w:left="297" w:right="130"/>
      </w:pPr>
      <w:r>
        <w:t>The BMA is supporting 5 test claimant GP practices who have received demands from NHSPS to pay inflated service charges based</w:t>
      </w:r>
      <w:r>
        <w:t xml:space="preserve"> on the Policy. The test claimants intend to bring court proceedings against NHSPS for a declaration that the Policy does not form part of their tenancy and NHSPS cannot therefore base their charges on it. The BMA engaged with NHSPS in discussions to try a</w:t>
      </w:r>
      <w:r>
        <w:t>nd resolve matters without the need for court proceedings but has faced similar obstacles to those it faced in previous discussions.</w:t>
      </w:r>
    </w:p>
    <w:p w:rsidR="008814CD" w:rsidRDefault="00BA635C">
      <w:pPr>
        <w:pStyle w:val="BodyText"/>
        <w:spacing w:before="121"/>
        <w:ind w:left="297" w:right="388"/>
        <w:jc w:val="both"/>
      </w:pPr>
      <w:r>
        <w:t>NHSPS</w:t>
      </w:r>
      <w:r>
        <w:rPr>
          <w:spacing w:val="-4"/>
        </w:rPr>
        <w:t xml:space="preserve"> </w:t>
      </w:r>
      <w:r>
        <w:t>repeatedly</w:t>
      </w:r>
      <w:r>
        <w:rPr>
          <w:spacing w:val="-2"/>
        </w:rPr>
        <w:t xml:space="preserve"> </w:t>
      </w:r>
      <w:r>
        <w:t>refused</w:t>
      </w:r>
      <w:r>
        <w:rPr>
          <w:spacing w:val="-2"/>
        </w:rPr>
        <w:t xml:space="preserve"> </w:t>
      </w:r>
      <w:r>
        <w:t>to</w:t>
      </w:r>
      <w:r>
        <w:rPr>
          <w:spacing w:val="-2"/>
        </w:rPr>
        <w:t xml:space="preserve"> </w:t>
      </w:r>
      <w:r>
        <w:t>provide</w:t>
      </w:r>
      <w:r>
        <w:rPr>
          <w:spacing w:val="-3"/>
        </w:rPr>
        <w:t xml:space="preserve"> </w:t>
      </w:r>
      <w:r>
        <w:t>a</w:t>
      </w:r>
      <w:r>
        <w:rPr>
          <w:spacing w:val="-2"/>
        </w:rPr>
        <w:t xml:space="preserve"> </w:t>
      </w:r>
      <w:r>
        <w:t>satisfactory</w:t>
      </w:r>
      <w:r>
        <w:rPr>
          <w:spacing w:val="-2"/>
        </w:rPr>
        <w:t xml:space="preserve"> </w:t>
      </w:r>
      <w:r>
        <w:t>explanation</w:t>
      </w:r>
      <w:r>
        <w:rPr>
          <w:spacing w:val="-3"/>
        </w:rPr>
        <w:t xml:space="preserve"> </w:t>
      </w:r>
      <w:r>
        <w:t>of</w:t>
      </w:r>
      <w:r>
        <w:rPr>
          <w:spacing w:val="-4"/>
        </w:rPr>
        <w:t xml:space="preserve"> </w:t>
      </w:r>
      <w:r>
        <w:t>the</w:t>
      </w:r>
      <w:r>
        <w:rPr>
          <w:spacing w:val="-3"/>
        </w:rPr>
        <w:t xml:space="preserve"> </w:t>
      </w:r>
      <w:r>
        <w:t>legal</w:t>
      </w:r>
      <w:r>
        <w:rPr>
          <w:spacing w:val="-2"/>
        </w:rPr>
        <w:t xml:space="preserve"> </w:t>
      </w:r>
      <w:r>
        <w:t>basis</w:t>
      </w:r>
      <w:r>
        <w:rPr>
          <w:spacing w:val="-4"/>
        </w:rPr>
        <w:t xml:space="preserve"> </w:t>
      </w:r>
      <w:r>
        <w:t>for</w:t>
      </w:r>
      <w:r>
        <w:rPr>
          <w:spacing w:val="-2"/>
        </w:rPr>
        <w:t xml:space="preserve"> </w:t>
      </w:r>
      <w:r>
        <w:t>the</w:t>
      </w:r>
      <w:r>
        <w:rPr>
          <w:spacing w:val="-3"/>
        </w:rPr>
        <w:t xml:space="preserve"> </w:t>
      </w:r>
      <w:r>
        <w:t>charges</w:t>
      </w:r>
      <w:r>
        <w:rPr>
          <w:spacing w:val="-4"/>
        </w:rPr>
        <w:t xml:space="preserve"> </w:t>
      </w:r>
      <w:r>
        <w:t>made against the test cla</w:t>
      </w:r>
      <w:r>
        <w:t xml:space="preserve">imants. In our view this shows the same </w:t>
      </w:r>
      <w:r>
        <w:rPr>
          <w:i/>
        </w:rPr>
        <w:t xml:space="preserve">“lack of transparency” </w:t>
      </w:r>
      <w:r>
        <w:t>which was found by the Public Accounts Committee in its report about NHSPS dated 4 November</w:t>
      </w:r>
      <w:r>
        <w:rPr>
          <w:spacing w:val="-12"/>
        </w:rPr>
        <w:t xml:space="preserve"> </w:t>
      </w:r>
      <w:r>
        <w:t>2019.</w:t>
      </w:r>
    </w:p>
    <w:p w:rsidR="008814CD" w:rsidRDefault="00BA635C">
      <w:pPr>
        <w:pStyle w:val="BodyText"/>
        <w:spacing w:before="120"/>
        <w:ind w:left="297" w:right="256"/>
      </w:pPr>
      <w:r>
        <w:t>The BMA and the test claimants have now notified NHSPS that they will start court proceedings w</w:t>
      </w:r>
      <w:r>
        <w:t>ithout further notice.</w:t>
      </w:r>
    </w:p>
    <w:p w:rsidR="008814CD" w:rsidRDefault="00BA635C">
      <w:pPr>
        <w:pStyle w:val="Heading1"/>
        <w:spacing w:before="119"/>
      </w:pPr>
      <w:r>
        <w:t>Other work</w:t>
      </w:r>
    </w:p>
    <w:p w:rsidR="008814CD" w:rsidRDefault="00BA635C">
      <w:pPr>
        <w:pStyle w:val="BodyText"/>
        <w:spacing w:before="121"/>
        <w:ind w:left="297" w:right="154"/>
      </w:pPr>
      <w:r>
        <w:t>The BMA have also been pursuing other avenues to address this issue. Earlier this year we submitted written evidence to the Public Accounts Committee as part of their investigation into NHSPS. We highlighted the impact tha</w:t>
      </w:r>
      <w:r>
        <w:t>t this situation is having on General Practice. The committee- which scrutinises public spending- took evidence from senior officials at NHSPS, NHSE and the DHSC. Their report concluded that NHSPS ‘was set up to fail’.</w:t>
      </w:r>
    </w:p>
    <w:p w:rsidR="008814CD" w:rsidRDefault="00BA635C">
      <w:pPr>
        <w:pStyle w:val="Heading1"/>
      </w:pPr>
      <w:r>
        <w:t>Guidance for practices</w:t>
      </w:r>
    </w:p>
    <w:p w:rsidR="008814CD" w:rsidRDefault="00BA635C">
      <w:pPr>
        <w:pStyle w:val="BodyText"/>
        <w:spacing w:before="118"/>
        <w:ind w:left="297" w:right="328"/>
      </w:pPr>
      <w:r>
        <w:t>NHSPS aim to c</w:t>
      </w:r>
      <w:r>
        <w:t>omplete their lease regularisation programme by April 2020, so we are expecting to see increased activity to influence practices to sign leases. We are hearing from practices that are coming under pressure to sign up to other forms of agreements like 'rent</w:t>
      </w:r>
      <w:r>
        <w:t>al agreement letters' (RAL).</w:t>
      </w:r>
    </w:p>
    <w:p w:rsidR="008814CD" w:rsidRDefault="00BA635C">
      <w:pPr>
        <w:pStyle w:val="BodyText"/>
        <w:spacing w:before="120"/>
        <w:ind w:left="297" w:right="130"/>
      </w:pPr>
      <w:r>
        <w:t>Our advice to practices has been clear and consistent. Practices cannot be forced into any agreement which places the viability of the practice at risk and solutions must be sustainable. Practices should be mindful that as the BMA are proceeding with legal</w:t>
      </w:r>
      <w:r>
        <w:t xml:space="preserve"> action, they must ensure that any agreement reached independently of this should not put themselves at risk of any future liability or compromise their future position</w:t>
      </w:r>
    </w:p>
    <w:p w:rsidR="008814CD" w:rsidRDefault="008814CD">
      <w:pPr>
        <w:pStyle w:val="BodyText"/>
        <w:spacing w:before="12"/>
        <w:rPr>
          <w:sz w:val="29"/>
        </w:rPr>
      </w:pPr>
    </w:p>
    <w:p w:rsidR="008814CD" w:rsidRDefault="00BA635C">
      <w:pPr>
        <w:pStyle w:val="BodyText"/>
        <w:ind w:left="297" w:right="150"/>
      </w:pPr>
      <w:r>
        <w:t>Practices should not accept invoices that they disagree with. In the absence of agreem</w:t>
      </w:r>
      <w:r>
        <w:t>ent by the practice (whether in a written lease or otherwise), unilateral changes to service charges cannot be made or enforced.</w:t>
      </w:r>
    </w:p>
    <w:p w:rsidR="008814CD" w:rsidRDefault="008814CD">
      <w:pPr>
        <w:pStyle w:val="BodyText"/>
        <w:spacing w:before="7"/>
        <w:rPr>
          <w:sz w:val="19"/>
        </w:rPr>
      </w:pPr>
    </w:p>
    <w:p w:rsidR="008814CD" w:rsidRDefault="008814CD">
      <w:pPr>
        <w:pStyle w:val="BodyText"/>
      </w:pPr>
    </w:p>
    <w:p w:rsidR="008814CD" w:rsidRDefault="008814CD">
      <w:pPr>
        <w:pStyle w:val="BodyText"/>
        <w:spacing w:before="5"/>
        <w:rPr>
          <w:sz w:val="19"/>
        </w:rPr>
      </w:pPr>
    </w:p>
    <w:p w:rsidR="008814CD" w:rsidRDefault="00BA635C">
      <w:pPr>
        <w:pStyle w:val="BodyText"/>
        <w:spacing w:before="1"/>
        <w:ind w:left="297"/>
      </w:pPr>
      <w:r>
        <w:t>Yours sincerely</w:t>
      </w:r>
    </w:p>
    <w:p w:rsidR="008814CD" w:rsidRDefault="00BA635C">
      <w:pPr>
        <w:pStyle w:val="BodyText"/>
        <w:spacing w:before="9"/>
        <w:rPr>
          <w:sz w:val="15"/>
        </w:rPr>
      </w:pPr>
      <w:r>
        <w:rPr>
          <w:noProof/>
          <w:lang w:bidi="ar-SA"/>
        </w:rPr>
        <w:drawing>
          <wp:anchor distT="0" distB="0" distL="0" distR="0" simplePos="0" relativeHeight="2" behindDoc="0" locked="0" layoutInCell="1" allowOverlap="1">
            <wp:simplePos x="0" y="0"/>
            <wp:positionH relativeFrom="page">
              <wp:posOffset>995680</wp:posOffset>
            </wp:positionH>
            <wp:positionV relativeFrom="paragraph">
              <wp:posOffset>147319</wp:posOffset>
            </wp:positionV>
            <wp:extent cx="1412048" cy="459486"/>
            <wp:effectExtent l="0" t="0" r="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1412048" cy="459486"/>
                    </a:xfrm>
                    <a:prstGeom prst="rect">
                      <a:avLst/>
                    </a:prstGeom>
                  </pic:spPr>
                </pic:pic>
              </a:graphicData>
            </a:graphic>
          </wp:anchor>
        </w:drawing>
      </w:r>
    </w:p>
    <w:p w:rsidR="008814CD" w:rsidRDefault="008814CD">
      <w:pPr>
        <w:pStyle w:val="BodyText"/>
      </w:pPr>
    </w:p>
    <w:p w:rsidR="008814CD" w:rsidRDefault="008814CD">
      <w:pPr>
        <w:pStyle w:val="BodyText"/>
        <w:spacing w:before="4"/>
        <w:rPr>
          <w:sz w:val="17"/>
        </w:rPr>
      </w:pPr>
    </w:p>
    <w:p w:rsidR="008814CD" w:rsidRDefault="00BA635C">
      <w:pPr>
        <w:pStyle w:val="BodyText"/>
        <w:spacing w:before="1" w:line="242" w:lineRule="exact"/>
        <w:ind w:left="297"/>
      </w:pPr>
      <w:r>
        <w:t>Gaurav Gupta</w:t>
      </w:r>
    </w:p>
    <w:p w:rsidR="008814CD" w:rsidRDefault="00BA635C">
      <w:pPr>
        <w:pStyle w:val="BodyText"/>
        <w:spacing w:line="242" w:lineRule="exact"/>
        <w:ind w:left="297"/>
      </w:pPr>
      <w:r>
        <w:t>GPC UK Policy Lead for Premises and Practice Finance</w:t>
      </w:r>
    </w:p>
    <w:p w:rsidR="008814CD" w:rsidRDefault="008814CD">
      <w:pPr>
        <w:pStyle w:val="BodyText"/>
      </w:pPr>
    </w:p>
    <w:p w:rsidR="008814CD" w:rsidRDefault="008814CD">
      <w:pPr>
        <w:pStyle w:val="BodyText"/>
      </w:pPr>
    </w:p>
    <w:p w:rsidR="008814CD" w:rsidRDefault="008814CD">
      <w:pPr>
        <w:pStyle w:val="BodyText"/>
      </w:pPr>
    </w:p>
    <w:p w:rsidR="008814CD" w:rsidRDefault="008814CD">
      <w:pPr>
        <w:pStyle w:val="BodyText"/>
      </w:pPr>
    </w:p>
    <w:p w:rsidR="008814CD" w:rsidRDefault="008814CD">
      <w:pPr>
        <w:pStyle w:val="BodyText"/>
      </w:pPr>
    </w:p>
    <w:p w:rsidR="008814CD" w:rsidRDefault="008814CD">
      <w:pPr>
        <w:pStyle w:val="BodyText"/>
      </w:pPr>
    </w:p>
    <w:p w:rsidR="008814CD" w:rsidRDefault="008814CD">
      <w:pPr>
        <w:pStyle w:val="BodyText"/>
      </w:pPr>
    </w:p>
    <w:p w:rsidR="008814CD" w:rsidRDefault="008814CD">
      <w:pPr>
        <w:pStyle w:val="BodyText"/>
      </w:pPr>
    </w:p>
    <w:p w:rsidR="008814CD" w:rsidRDefault="008814CD">
      <w:pPr>
        <w:pStyle w:val="BodyText"/>
      </w:pPr>
    </w:p>
    <w:p w:rsidR="008814CD" w:rsidRDefault="008814CD">
      <w:pPr>
        <w:pStyle w:val="BodyText"/>
        <w:spacing w:before="11"/>
        <w:rPr>
          <w:sz w:val="29"/>
        </w:rPr>
      </w:pPr>
    </w:p>
    <w:p w:rsidR="008814CD" w:rsidRDefault="00BA635C">
      <w:pPr>
        <w:spacing w:before="68"/>
        <w:ind w:right="108"/>
        <w:jc w:val="right"/>
        <w:rPr>
          <w:sz w:val="16"/>
        </w:rPr>
      </w:pPr>
      <w:r>
        <w:rPr>
          <w:color w:val="12306D"/>
          <w:sz w:val="16"/>
        </w:rPr>
        <w:t>Page 2 of 2</w:t>
      </w:r>
    </w:p>
    <w:sectPr w:rsidR="008814CD">
      <w:pgSz w:w="11900" w:h="16850"/>
      <w:pgMar w:top="680" w:right="1440" w:bottom="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8814CD"/>
    <w:rsid w:val="008814CD"/>
    <w:rsid w:val="008F1E96"/>
    <w:rsid w:val="00B80D58"/>
    <w:rsid w:val="00BA6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8BB5FB64-4F97-40FE-AA10-414C1E32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121"/>
      <w:ind w:left="29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mailto:mloizou@bm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Matina Loizou</dc:creator>
  <cp:lastModifiedBy>LMC Admin</cp:lastModifiedBy>
  <cp:revision>4</cp:revision>
  <dcterms:created xsi:type="dcterms:W3CDTF">2019-12-13T10:55:00Z</dcterms:created>
  <dcterms:modified xsi:type="dcterms:W3CDTF">2019-12-13T10:54:00Z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for Office 365</vt:lpwstr>
  </property>
  <property fmtid="{D5CDD505-2E9C-101B-9397-08002B2CF9AE}" pid="4" name="LastSaved">
    <vt:filetime>2019-12-13T00:00:00Z</vt:filetime>
  </property>
</Properties>
</file>