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4D035" w14:textId="77777777" w:rsidR="003C21F5" w:rsidRDefault="003C21F5" w:rsidP="003C21F5">
      <w:pPr>
        <w:spacing w:after="0" w:line="240" w:lineRule="auto"/>
        <w:rPr>
          <w:rFonts w:ascii="Bliss 2 Light" w:hAnsi="Bliss 2 Light"/>
          <w:sz w:val="24"/>
          <w:szCs w:val="24"/>
        </w:rPr>
      </w:pPr>
    </w:p>
    <w:p w14:paraId="2D6E2DA4" w14:textId="4188033B" w:rsidR="003C21F5" w:rsidRDefault="00AB7877" w:rsidP="003C21F5">
      <w:pPr>
        <w:spacing w:after="0" w:line="240" w:lineRule="auto"/>
        <w:jc w:val="right"/>
        <w:rPr>
          <w:rFonts w:ascii="Bliss 2 Light" w:hAnsi="Bliss 2 Light"/>
          <w:sz w:val="24"/>
          <w:szCs w:val="24"/>
        </w:rPr>
      </w:pPr>
      <w:r>
        <w:rPr>
          <w:rFonts w:ascii="Bliss 2 Light" w:hAnsi="Bliss 2 Light"/>
          <w:sz w:val="24"/>
          <w:szCs w:val="24"/>
        </w:rPr>
        <w:t>5</w:t>
      </w:r>
      <w:r w:rsidRPr="00AB7877">
        <w:rPr>
          <w:rFonts w:ascii="Bliss 2 Light" w:hAnsi="Bliss 2 Light"/>
          <w:sz w:val="24"/>
          <w:szCs w:val="24"/>
          <w:vertAlign w:val="superscript"/>
        </w:rPr>
        <w:t>th</w:t>
      </w:r>
      <w:r>
        <w:rPr>
          <w:rFonts w:ascii="Bliss 2 Light" w:hAnsi="Bliss 2 Light"/>
          <w:sz w:val="24"/>
          <w:szCs w:val="24"/>
        </w:rPr>
        <w:t xml:space="preserve"> October 2020</w:t>
      </w:r>
    </w:p>
    <w:p w14:paraId="18173127" w14:textId="77777777" w:rsidR="003C21F5" w:rsidRDefault="003C21F5" w:rsidP="003C21F5">
      <w:pPr>
        <w:spacing w:after="0" w:line="240" w:lineRule="auto"/>
        <w:rPr>
          <w:rFonts w:ascii="Bliss 2 Light" w:hAnsi="Bliss 2 Light"/>
          <w:sz w:val="24"/>
          <w:szCs w:val="24"/>
        </w:rPr>
      </w:pPr>
    </w:p>
    <w:p w14:paraId="4BF1D0BD" w14:textId="25B746C1" w:rsidR="003C21F5" w:rsidRDefault="003C21F5" w:rsidP="003C21F5">
      <w:pPr>
        <w:spacing w:after="0" w:line="240" w:lineRule="auto"/>
        <w:rPr>
          <w:rFonts w:ascii="Bliss 2 Light" w:hAnsi="Bliss 2 Light"/>
          <w:sz w:val="24"/>
          <w:szCs w:val="24"/>
        </w:rPr>
      </w:pPr>
      <w:r>
        <w:rPr>
          <w:rFonts w:ascii="Bliss 2 Light" w:hAnsi="Bliss 2 Light"/>
          <w:sz w:val="24"/>
          <w:szCs w:val="24"/>
        </w:rPr>
        <w:t>Dear Colleagues</w:t>
      </w:r>
    </w:p>
    <w:p w14:paraId="032216E2" w14:textId="4DD49B7E" w:rsidR="003C21F5" w:rsidRDefault="003C21F5" w:rsidP="003C21F5">
      <w:pPr>
        <w:spacing w:after="0" w:line="240" w:lineRule="auto"/>
        <w:rPr>
          <w:rFonts w:ascii="Bliss 2 Light" w:hAnsi="Bliss 2 Light"/>
          <w:sz w:val="24"/>
          <w:szCs w:val="24"/>
        </w:rPr>
      </w:pPr>
    </w:p>
    <w:p w14:paraId="705DFDE0" w14:textId="2B3FC7E3" w:rsidR="003C21F5" w:rsidRPr="00DE752F" w:rsidRDefault="003C21F5" w:rsidP="003A2028">
      <w:pPr>
        <w:spacing w:after="0" w:line="240" w:lineRule="auto"/>
        <w:jc w:val="center"/>
        <w:rPr>
          <w:rFonts w:ascii="Bliss 2 Light" w:hAnsi="Bliss 2 Light"/>
          <w:b/>
          <w:bCs/>
          <w:sz w:val="28"/>
          <w:szCs w:val="28"/>
          <w:u w:val="single"/>
        </w:rPr>
      </w:pPr>
      <w:r w:rsidRPr="00DE752F">
        <w:rPr>
          <w:rFonts w:ascii="Bliss 2 Light" w:hAnsi="Bliss 2 Light"/>
          <w:b/>
          <w:bCs/>
          <w:sz w:val="28"/>
          <w:szCs w:val="28"/>
          <w:u w:val="single"/>
        </w:rPr>
        <w:t>Amendments to GMS/PMS Contract Regulations October 2020</w:t>
      </w:r>
    </w:p>
    <w:p w14:paraId="48E41CA4" w14:textId="722B9CDC" w:rsidR="003C21F5" w:rsidRDefault="003C21F5" w:rsidP="003C21F5">
      <w:pPr>
        <w:spacing w:after="0" w:line="240" w:lineRule="auto"/>
        <w:rPr>
          <w:rFonts w:ascii="Bliss 2 Light" w:hAnsi="Bliss 2 Light"/>
          <w:b/>
          <w:bCs/>
          <w:sz w:val="24"/>
          <w:szCs w:val="24"/>
        </w:rPr>
      </w:pPr>
    </w:p>
    <w:p w14:paraId="71961F6A" w14:textId="77777777" w:rsidR="00AB7877" w:rsidRDefault="00AB7877" w:rsidP="003C21F5">
      <w:pPr>
        <w:spacing w:after="0" w:line="240" w:lineRule="auto"/>
        <w:rPr>
          <w:rFonts w:ascii="Bliss 2 Light" w:hAnsi="Bliss 2 Light"/>
          <w:sz w:val="24"/>
          <w:szCs w:val="24"/>
        </w:rPr>
      </w:pPr>
      <w:r>
        <w:rPr>
          <w:rFonts w:ascii="Bliss 2 Light" w:hAnsi="Bliss 2 Light"/>
          <w:sz w:val="24"/>
          <w:szCs w:val="24"/>
        </w:rPr>
        <w:t>You will by now have received the Regulation changes to your GMS/PMS Contracts as from 1</w:t>
      </w:r>
      <w:r w:rsidRPr="00AB7877">
        <w:rPr>
          <w:rFonts w:ascii="Bliss 2 Light" w:hAnsi="Bliss 2 Light"/>
          <w:sz w:val="24"/>
          <w:szCs w:val="24"/>
          <w:vertAlign w:val="superscript"/>
        </w:rPr>
        <w:t>st</w:t>
      </w:r>
      <w:r>
        <w:rPr>
          <w:rFonts w:ascii="Bliss 2 Light" w:hAnsi="Bliss 2 Light"/>
          <w:sz w:val="24"/>
          <w:szCs w:val="24"/>
        </w:rPr>
        <w:t xml:space="preserve"> October 2020.</w:t>
      </w:r>
      <w:r w:rsidR="003C21F5">
        <w:rPr>
          <w:rFonts w:ascii="Bliss 2 Light" w:hAnsi="Bliss 2 Light"/>
          <w:sz w:val="24"/>
          <w:szCs w:val="24"/>
        </w:rPr>
        <w:t xml:space="preserve">  </w:t>
      </w:r>
    </w:p>
    <w:p w14:paraId="62AE8BF7" w14:textId="77777777" w:rsidR="00AB7877" w:rsidRDefault="00AB7877" w:rsidP="003C21F5">
      <w:pPr>
        <w:spacing w:after="0" w:line="240" w:lineRule="auto"/>
        <w:rPr>
          <w:rFonts w:ascii="Bliss 2 Light" w:hAnsi="Bliss 2 Light"/>
          <w:sz w:val="24"/>
          <w:szCs w:val="24"/>
        </w:rPr>
      </w:pPr>
    </w:p>
    <w:p w14:paraId="406742CA" w14:textId="3B0D815D" w:rsidR="00AB7877" w:rsidRDefault="00AB7877" w:rsidP="003C21F5">
      <w:pPr>
        <w:spacing w:after="0" w:line="240" w:lineRule="auto"/>
        <w:rPr>
          <w:rFonts w:ascii="Bliss 2 Light" w:hAnsi="Bliss 2 Light"/>
          <w:sz w:val="24"/>
          <w:szCs w:val="24"/>
        </w:rPr>
      </w:pPr>
      <w:r>
        <w:rPr>
          <w:rFonts w:ascii="Bliss 2 Light" w:hAnsi="Bliss 2 Light"/>
          <w:sz w:val="24"/>
          <w:szCs w:val="24"/>
        </w:rPr>
        <w:t>I’ve tried to simplify the main areas of the changes to your Contract below</w:t>
      </w:r>
      <w:r w:rsidR="000D1056">
        <w:rPr>
          <w:rFonts w:ascii="Bliss 2 Light" w:hAnsi="Bliss 2 Light"/>
          <w:sz w:val="24"/>
          <w:szCs w:val="24"/>
        </w:rPr>
        <w:t xml:space="preserve">, I </w:t>
      </w:r>
      <w:r>
        <w:rPr>
          <w:rFonts w:ascii="Bliss 2 Light" w:hAnsi="Bliss 2 Light"/>
          <w:sz w:val="24"/>
          <w:szCs w:val="24"/>
        </w:rPr>
        <w:t xml:space="preserve">hope this helps: however, please note that in order to understand the full implications of the contract changes you must refer to the full </w:t>
      </w:r>
      <w:r w:rsidR="003A2028">
        <w:rPr>
          <w:rFonts w:ascii="Bliss 2 Light" w:hAnsi="Bliss 2 Light"/>
          <w:sz w:val="24"/>
          <w:szCs w:val="24"/>
        </w:rPr>
        <w:t xml:space="preserve">contractual </w:t>
      </w:r>
      <w:r>
        <w:rPr>
          <w:rFonts w:ascii="Bliss 2 Light" w:hAnsi="Bliss 2 Light"/>
          <w:sz w:val="24"/>
          <w:szCs w:val="24"/>
        </w:rPr>
        <w:t>documentation</w:t>
      </w:r>
      <w:r w:rsidR="003A2028">
        <w:rPr>
          <w:rFonts w:ascii="Bliss 2 Light" w:hAnsi="Bliss 2 Light"/>
          <w:sz w:val="24"/>
          <w:szCs w:val="24"/>
        </w:rPr>
        <w:t xml:space="preserve"> as below:</w:t>
      </w:r>
    </w:p>
    <w:p w14:paraId="71EE8744" w14:textId="77777777" w:rsidR="003A2028" w:rsidRDefault="003A2028" w:rsidP="003C21F5">
      <w:pPr>
        <w:spacing w:after="0" w:line="240" w:lineRule="auto"/>
        <w:rPr>
          <w:rFonts w:ascii="Bliss 2 Light" w:hAnsi="Bliss 2 Light"/>
          <w:sz w:val="24"/>
          <w:szCs w:val="24"/>
        </w:rPr>
      </w:pPr>
    </w:p>
    <w:p w14:paraId="4C8CA44B" w14:textId="41973D80" w:rsidR="003A2028" w:rsidRDefault="00EC7C6A" w:rsidP="003C21F5">
      <w:pPr>
        <w:spacing w:after="0" w:line="240" w:lineRule="auto"/>
        <w:rPr>
          <w:rFonts w:ascii="Bliss 2 Light" w:hAnsi="Bliss 2 Light"/>
          <w:sz w:val="24"/>
          <w:szCs w:val="24"/>
        </w:rPr>
      </w:pPr>
      <w:hyperlink r:id="rId5" w:history="1">
        <w:r w:rsidR="00515809" w:rsidRPr="009C3C31">
          <w:rPr>
            <w:rStyle w:val="Hyperlink"/>
            <w:rFonts w:ascii="Bliss 2 Light" w:hAnsi="Bliss 2 Light"/>
            <w:sz w:val="24"/>
            <w:szCs w:val="24"/>
          </w:rPr>
          <w:t>https://www.bma.org.uk/pay-and-contracts/contracts/gp-contract/gp-contract-england-202021</w:t>
        </w:r>
      </w:hyperlink>
    </w:p>
    <w:p w14:paraId="5E44D9A8" w14:textId="77777777" w:rsidR="003A2028" w:rsidRDefault="003A2028" w:rsidP="003C21F5">
      <w:pPr>
        <w:spacing w:after="0" w:line="240" w:lineRule="auto"/>
        <w:rPr>
          <w:rFonts w:ascii="Bliss 2 Light" w:hAnsi="Bliss 2 Light"/>
          <w:sz w:val="24"/>
          <w:szCs w:val="24"/>
        </w:rPr>
      </w:pPr>
    </w:p>
    <w:p w14:paraId="5EC858F6" w14:textId="6E227810" w:rsidR="003A2028" w:rsidRDefault="00EC7C6A" w:rsidP="003C21F5">
      <w:pPr>
        <w:spacing w:after="0" w:line="240" w:lineRule="auto"/>
        <w:rPr>
          <w:rFonts w:ascii="Bliss 2 Light" w:hAnsi="Bliss 2 Light"/>
          <w:sz w:val="24"/>
          <w:szCs w:val="24"/>
        </w:rPr>
      </w:pPr>
      <w:hyperlink r:id="rId6" w:history="1">
        <w:r w:rsidR="003A2028" w:rsidRPr="009C3C31">
          <w:rPr>
            <w:rStyle w:val="Hyperlink"/>
            <w:rFonts w:ascii="Bliss 2 Light" w:hAnsi="Bliss 2 Light"/>
            <w:sz w:val="24"/>
            <w:szCs w:val="24"/>
          </w:rPr>
          <w:t>https://www.england.nhs.uk/wp-content/uploads/2020/10/B0201_-GP-contract-letter-1-October-.pdf</w:t>
        </w:r>
      </w:hyperlink>
    </w:p>
    <w:p w14:paraId="6982C442" w14:textId="77777777" w:rsidR="00AB7877" w:rsidRDefault="00AB7877" w:rsidP="003C21F5">
      <w:pPr>
        <w:spacing w:after="0" w:line="240" w:lineRule="auto"/>
        <w:rPr>
          <w:rFonts w:ascii="Bliss 2 Light" w:hAnsi="Bliss 2 Light"/>
          <w:sz w:val="24"/>
          <w:szCs w:val="24"/>
        </w:rPr>
      </w:pPr>
    </w:p>
    <w:p w14:paraId="0E2DA999" w14:textId="47EE5F0E" w:rsidR="003C21F5" w:rsidRDefault="003C21F5" w:rsidP="003C21F5">
      <w:pPr>
        <w:spacing w:after="0" w:line="240" w:lineRule="auto"/>
        <w:rPr>
          <w:rFonts w:ascii="Bliss 2 Light" w:hAnsi="Bliss 2 Light"/>
          <w:sz w:val="24"/>
          <w:szCs w:val="24"/>
        </w:rPr>
      </w:pPr>
      <w:r>
        <w:rPr>
          <w:rFonts w:ascii="Bliss 2 Light" w:hAnsi="Bliss 2 Light"/>
          <w:sz w:val="24"/>
          <w:szCs w:val="24"/>
        </w:rPr>
        <w:t xml:space="preserve">You will at some point receive a Variation Notice from your CCG to your current contract; because the variations are being introduced are legally enforceable, the CCG are able to vary your contract to include these terms.  </w:t>
      </w:r>
      <w:r w:rsidRPr="000D1056">
        <w:rPr>
          <w:rFonts w:ascii="Bliss 2 Light" w:hAnsi="Bliss 2 Light"/>
          <w:b/>
          <w:bCs/>
          <w:sz w:val="24"/>
          <w:szCs w:val="24"/>
        </w:rPr>
        <w:t xml:space="preserve">The Variation Notice should include </w:t>
      </w:r>
      <w:r w:rsidR="009E7C86" w:rsidRPr="000D1056">
        <w:rPr>
          <w:rFonts w:ascii="Bliss 2 Light" w:hAnsi="Bliss 2 Light"/>
          <w:b/>
          <w:bCs/>
          <w:sz w:val="24"/>
          <w:szCs w:val="24"/>
        </w:rPr>
        <w:t>reference to</w:t>
      </w:r>
      <w:r w:rsidRPr="000D1056">
        <w:rPr>
          <w:rFonts w:ascii="Bliss 2 Light" w:hAnsi="Bliss 2 Light"/>
          <w:b/>
          <w:bCs/>
          <w:sz w:val="24"/>
          <w:szCs w:val="24"/>
        </w:rPr>
        <w:t xml:space="preserve"> The National Health Service (General Medical Services [GMS] Contracts and Personal Medical Services [PMS] Agreement) (Amendment) Regulations 2020</w:t>
      </w:r>
      <w:r>
        <w:rPr>
          <w:rFonts w:ascii="Bliss 2 Light" w:hAnsi="Bliss 2 Light"/>
          <w:sz w:val="24"/>
          <w:szCs w:val="24"/>
        </w:rPr>
        <w:t>.</w:t>
      </w:r>
    </w:p>
    <w:p w14:paraId="46A17485" w14:textId="3AFFF11A" w:rsidR="003C21F5" w:rsidRDefault="003C21F5" w:rsidP="003C21F5">
      <w:pPr>
        <w:spacing w:after="0" w:line="240" w:lineRule="auto"/>
        <w:rPr>
          <w:rFonts w:ascii="Bliss 2 Light" w:hAnsi="Bliss 2 Light"/>
          <w:sz w:val="24"/>
          <w:szCs w:val="24"/>
        </w:rPr>
      </w:pPr>
    </w:p>
    <w:p w14:paraId="07D143AC" w14:textId="01A382DF" w:rsidR="003C21F5" w:rsidRDefault="003C21F5" w:rsidP="003C21F5">
      <w:pPr>
        <w:spacing w:after="0" w:line="240" w:lineRule="auto"/>
        <w:rPr>
          <w:rFonts w:ascii="Bliss 2 Light" w:hAnsi="Bliss 2 Light"/>
          <w:sz w:val="24"/>
          <w:szCs w:val="24"/>
        </w:rPr>
      </w:pPr>
      <w:r>
        <w:rPr>
          <w:rFonts w:ascii="Bliss 2 Light" w:hAnsi="Bliss 2 Light"/>
          <w:sz w:val="24"/>
          <w:szCs w:val="24"/>
        </w:rPr>
        <w:t>Although there are a number of minor changes, those with the most relevance to practic</w:t>
      </w:r>
      <w:r w:rsidR="000D1056">
        <w:rPr>
          <w:rFonts w:ascii="Bliss 2 Light" w:hAnsi="Bliss 2 Light"/>
          <w:sz w:val="24"/>
          <w:szCs w:val="24"/>
        </w:rPr>
        <w:t>es</w:t>
      </w:r>
      <w:r>
        <w:rPr>
          <w:rFonts w:ascii="Bliss 2 Light" w:hAnsi="Bliss 2 Light"/>
          <w:sz w:val="24"/>
          <w:szCs w:val="24"/>
        </w:rPr>
        <w:t xml:space="preserve"> are:</w:t>
      </w:r>
    </w:p>
    <w:p w14:paraId="7AB92B05" w14:textId="4DFBDAB6" w:rsidR="003C21F5" w:rsidRDefault="003C21F5" w:rsidP="003C21F5">
      <w:pPr>
        <w:spacing w:after="0" w:line="240" w:lineRule="auto"/>
        <w:rPr>
          <w:rFonts w:ascii="Bliss 2 Light" w:hAnsi="Bliss 2 Light"/>
          <w:sz w:val="24"/>
          <w:szCs w:val="24"/>
        </w:rPr>
      </w:pPr>
    </w:p>
    <w:p w14:paraId="52026417" w14:textId="6F422F68" w:rsidR="00E7511B" w:rsidRDefault="00E7511B" w:rsidP="003C21F5">
      <w:pPr>
        <w:spacing w:after="0" w:line="240" w:lineRule="auto"/>
        <w:rPr>
          <w:rFonts w:ascii="Bliss 2 Light" w:hAnsi="Bliss 2 Light"/>
          <w:sz w:val="24"/>
          <w:szCs w:val="24"/>
        </w:rPr>
      </w:pPr>
      <w:r>
        <w:rPr>
          <w:rFonts w:ascii="Bliss 2 Light" w:hAnsi="Bliss 2 Light"/>
          <w:sz w:val="24"/>
          <w:szCs w:val="24"/>
        </w:rPr>
        <w:t>-------------------------------------------------------------------------------------------------------------------------</w:t>
      </w:r>
    </w:p>
    <w:p w14:paraId="1FF00615" w14:textId="1692BEE1" w:rsidR="003C21F5" w:rsidRDefault="003C21F5" w:rsidP="003C21F5">
      <w:pPr>
        <w:spacing w:after="0" w:line="240" w:lineRule="auto"/>
        <w:rPr>
          <w:rFonts w:ascii="Bliss 2 Light" w:hAnsi="Bliss 2 Light"/>
          <w:sz w:val="24"/>
          <w:szCs w:val="24"/>
        </w:rPr>
      </w:pPr>
      <w:bookmarkStart w:id="0" w:name="_Hlk52791628"/>
      <w:r w:rsidRPr="003C21F5">
        <w:rPr>
          <w:rFonts w:ascii="Bliss 2 Light" w:hAnsi="Bliss 2 Light"/>
          <w:b/>
          <w:bCs/>
          <w:sz w:val="24"/>
          <w:szCs w:val="24"/>
        </w:rPr>
        <w:t>1</w:t>
      </w:r>
      <w:r>
        <w:rPr>
          <w:rFonts w:ascii="Bliss 2 Light" w:hAnsi="Bliss 2 Light"/>
          <w:sz w:val="24"/>
          <w:szCs w:val="24"/>
        </w:rPr>
        <w:t>.</w:t>
      </w:r>
      <w:r>
        <w:rPr>
          <w:rFonts w:ascii="Bliss 2 Light" w:hAnsi="Bliss 2 Light"/>
          <w:b/>
          <w:bCs/>
          <w:sz w:val="24"/>
          <w:szCs w:val="24"/>
        </w:rPr>
        <w:t xml:space="preserve"> </w:t>
      </w:r>
      <w:r w:rsidRPr="002A03B0">
        <w:rPr>
          <w:rFonts w:ascii="Bliss 2 Light" w:hAnsi="Bliss 2 Light"/>
          <w:b/>
          <w:bCs/>
          <w:sz w:val="28"/>
          <w:szCs w:val="28"/>
          <w:u w:val="single"/>
        </w:rPr>
        <w:t>Changes to the frequency of submitting workforce data from a quarterly to a monthly basis</w:t>
      </w:r>
      <w:r w:rsidRPr="002A03B0">
        <w:rPr>
          <w:rFonts w:ascii="Bliss 2 Light" w:hAnsi="Bliss 2 Light"/>
          <w:b/>
          <w:bCs/>
          <w:sz w:val="28"/>
          <w:szCs w:val="28"/>
        </w:rPr>
        <w:t>:</w:t>
      </w:r>
      <w:r w:rsidRPr="002A03B0">
        <w:rPr>
          <w:rFonts w:ascii="Bliss 2 Light" w:hAnsi="Bliss 2 Light"/>
          <w:sz w:val="28"/>
          <w:szCs w:val="28"/>
        </w:rPr>
        <w:t xml:space="preserve"> </w:t>
      </w:r>
      <w:r>
        <w:rPr>
          <w:rFonts w:ascii="Bliss 2 Light" w:hAnsi="Bliss 2 Light"/>
          <w:sz w:val="24"/>
          <w:szCs w:val="24"/>
        </w:rPr>
        <w:t xml:space="preserve">this is part of NHS </w:t>
      </w:r>
      <w:r w:rsidR="00865144">
        <w:rPr>
          <w:rFonts w:ascii="Bliss 2 Light" w:hAnsi="Bliss 2 Light"/>
          <w:sz w:val="24"/>
          <w:szCs w:val="24"/>
        </w:rPr>
        <w:t>England’s</w:t>
      </w:r>
      <w:r>
        <w:rPr>
          <w:rFonts w:ascii="Bliss 2 Light" w:hAnsi="Bliss 2 Light"/>
          <w:sz w:val="24"/>
          <w:szCs w:val="24"/>
        </w:rPr>
        <w:t xml:space="preserve"> attempt to more carefully monitor GP practice workforce and, it is to be hoped,</w:t>
      </w:r>
      <w:r w:rsidR="009E7C86">
        <w:rPr>
          <w:rFonts w:ascii="Bliss 2 Light" w:hAnsi="Bliss 2 Light"/>
          <w:sz w:val="24"/>
          <w:szCs w:val="24"/>
        </w:rPr>
        <w:t xml:space="preserve"> t</w:t>
      </w:r>
      <w:r>
        <w:rPr>
          <w:rFonts w:ascii="Bliss 2 Light" w:hAnsi="Bliss 2 Light"/>
          <w:sz w:val="24"/>
          <w:szCs w:val="24"/>
        </w:rPr>
        <w:t xml:space="preserve">hereby acknowledge and address the need for increased investment.  Colleagues should note this does also bring </w:t>
      </w:r>
      <w:r w:rsidR="009E7C86">
        <w:rPr>
          <w:rFonts w:ascii="Bliss 2 Light" w:hAnsi="Bliss 2 Light"/>
          <w:sz w:val="24"/>
          <w:szCs w:val="24"/>
        </w:rPr>
        <w:t xml:space="preserve">the frequency of </w:t>
      </w:r>
      <w:r>
        <w:rPr>
          <w:rFonts w:ascii="Bliss 2 Light" w:hAnsi="Bliss 2 Light"/>
          <w:sz w:val="24"/>
          <w:szCs w:val="24"/>
        </w:rPr>
        <w:t xml:space="preserve">GP practice workforce </w:t>
      </w:r>
      <w:r w:rsidR="00865144">
        <w:rPr>
          <w:rFonts w:ascii="Bliss 2 Light" w:hAnsi="Bliss 2 Light"/>
          <w:sz w:val="24"/>
          <w:szCs w:val="24"/>
        </w:rPr>
        <w:t>reporting into</w:t>
      </w:r>
      <w:r>
        <w:rPr>
          <w:rFonts w:ascii="Bliss 2 Light" w:hAnsi="Bliss 2 Light"/>
          <w:sz w:val="24"/>
          <w:szCs w:val="24"/>
        </w:rPr>
        <w:t xml:space="preserve"> line with the PCN Additional Roles Reimbursement Scheme reporting arrangements.</w:t>
      </w:r>
      <w:r w:rsidR="00C106C3">
        <w:rPr>
          <w:rFonts w:ascii="Bliss 2 Light" w:hAnsi="Bliss 2 Light"/>
          <w:sz w:val="24"/>
          <w:szCs w:val="24"/>
        </w:rPr>
        <w:t xml:space="preserve">  </w:t>
      </w:r>
      <w:r w:rsidR="003B699A" w:rsidRPr="003B699A">
        <w:rPr>
          <w:rFonts w:ascii="Bliss 2 Light" w:hAnsi="Bliss 2 Light"/>
          <w:sz w:val="24"/>
          <w:szCs w:val="24"/>
        </w:rPr>
        <w:t xml:space="preserve">A requirement for practices to participate in monthly, rather than quarterly updates regarding the NHS Digital Workforce Collection.  </w:t>
      </w:r>
    </w:p>
    <w:p w14:paraId="5315AB58" w14:textId="5A036400" w:rsidR="00707733" w:rsidRDefault="00707733" w:rsidP="00707733">
      <w:pPr>
        <w:spacing w:after="0" w:line="240" w:lineRule="auto"/>
      </w:pPr>
      <w:r>
        <w:rPr>
          <w:rFonts w:ascii="Bliss 2 Light" w:hAnsi="Bliss 2 Light"/>
          <w:sz w:val="24"/>
          <w:szCs w:val="24"/>
        </w:rPr>
        <w:t xml:space="preserve">Practices – </w:t>
      </w:r>
      <w:r w:rsidRPr="00707733">
        <w:rPr>
          <w:rFonts w:ascii="Bliss 2 Light" w:hAnsi="Bliss 2 Light"/>
          <w:b/>
          <w:bCs/>
          <w:color w:val="FF0000"/>
          <w:sz w:val="24"/>
          <w:szCs w:val="24"/>
        </w:rPr>
        <w:t>WE HAVE NOTED THAT THE LINK BELOW</w:t>
      </w:r>
      <w:r w:rsidR="000532A3">
        <w:rPr>
          <w:rFonts w:ascii="Bliss 2 Light" w:hAnsi="Bliss 2 Light"/>
          <w:b/>
          <w:bCs/>
          <w:color w:val="FF0000"/>
          <w:sz w:val="24"/>
          <w:szCs w:val="24"/>
        </w:rPr>
        <w:t xml:space="preserve">, WHICH </w:t>
      </w:r>
      <w:r>
        <w:rPr>
          <w:rFonts w:ascii="Bliss 2 Light" w:hAnsi="Bliss 2 Light"/>
          <w:b/>
          <w:bCs/>
          <w:color w:val="FF0000"/>
          <w:sz w:val="24"/>
          <w:szCs w:val="24"/>
        </w:rPr>
        <w:t>WE BELIEVE CONTAINS</w:t>
      </w:r>
      <w:r w:rsidRPr="00707733">
        <w:rPr>
          <w:rFonts w:ascii="Bliss 2 Light" w:hAnsi="Bliss 2 Light"/>
          <w:b/>
          <w:bCs/>
          <w:color w:val="FF0000"/>
          <w:sz w:val="24"/>
          <w:szCs w:val="24"/>
        </w:rPr>
        <w:t xml:space="preserve"> OLD DATA</w:t>
      </w:r>
      <w:r w:rsidR="000532A3">
        <w:rPr>
          <w:rFonts w:ascii="Bliss 2 Light" w:hAnsi="Bliss 2 Light"/>
          <w:b/>
          <w:bCs/>
          <w:color w:val="FF0000"/>
          <w:sz w:val="24"/>
          <w:szCs w:val="24"/>
        </w:rPr>
        <w:t xml:space="preserve">, </w:t>
      </w:r>
      <w:r w:rsidRPr="00707733">
        <w:rPr>
          <w:rFonts w:ascii="Bliss 2 Light" w:hAnsi="Bliss 2 Light"/>
          <w:b/>
          <w:bCs/>
          <w:color w:val="FF0000"/>
          <w:sz w:val="24"/>
          <w:szCs w:val="24"/>
        </w:rPr>
        <w:t xml:space="preserve">HASN’T YET BEEN UPDATED TO INCORPORATE THE TRANSFER TO “MONTHLY” </w:t>
      </w:r>
      <w:r>
        <w:rPr>
          <w:rFonts w:ascii="Bliss 2 Light" w:hAnsi="Bliss 2 Light"/>
          <w:b/>
          <w:bCs/>
          <w:color w:val="FF0000"/>
          <w:sz w:val="24"/>
          <w:szCs w:val="24"/>
        </w:rPr>
        <w:t xml:space="preserve">DATA SUBMISSION </w:t>
      </w:r>
      <w:r w:rsidRPr="00707733">
        <w:rPr>
          <w:rFonts w:ascii="Bliss 2 Light" w:hAnsi="Bliss 2 Light"/>
          <w:b/>
          <w:bCs/>
          <w:color w:val="FF0000"/>
          <w:sz w:val="24"/>
          <w:szCs w:val="24"/>
        </w:rPr>
        <w:t>REPORTING</w:t>
      </w:r>
      <w:r w:rsidR="000532A3">
        <w:rPr>
          <w:rFonts w:ascii="Bliss 2 Light" w:hAnsi="Bliss 2 Light"/>
          <w:b/>
          <w:bCs/>
          <w:color w:val="FF0000"/>
          <w:sz w:val="24"/>
          <w:szCs w:val="24"/>
        </w:rPr>
        <w:t>.  THIS ST</w:t>
      </w:r>
      <w:r>
        <w:rPr>
          <w:rFonts w:ascii="Bliss 2 Light" w:hAnsi="Bliss 2 Light"/>
          <w:b/>
          <w:bCs/>
          <w:color w:val="FF0000"/>
          <w:sz w:val="24"/>
          <w:szCs w:val="24"/>
        </w:rPr>
        <w:t>ILL INDICATES QUARTERLY REPORTING</w:t>
      </w:r>
      <w:r w:rsidRPr="00707733">
        <w:rPr>
          <w:rFonts w:ascii="Bliss 2 Light" w:hAnsi="Bliss 2 Light"/>
          <w:b/>
          <w:bCs/>
          <w:color w:val="FF0000"/>
          <w:sz w:val="24"/>
          <w:szCs w:val="24"/>
        </w:rPr>
        <w:t>?  WE</w:t>
      </w:r>
      <w:r>
        <w:rPr>
          <w:rFonts w:ascii="Bliss 2 Light" w:hAnsi="Bliss 2 Light"/>
          <w:b/>
          <w:bCs/>
          <w:color w:val="FF0000"/>
          <w:sz w:val="24"/>
          <w:szCs w:val="24"/>
        </w:rPr>
        <w:t>’VE</w:t>
      </w:r>
      <w:r w:rsidRPr="00707733">
        <w:rPr>
          <w:rFonts w:ascii="Bliss 2 Light" w:hAnsi="Bliss 2 Light"/>
          <w:b/>
          <w:bCs/>
          <w:color w:val="FF0000"/>
          <w:sz w:val="24"/>
          <w:szCs w:val="24"/>
        </w:rPr>
        <w:t xml:space="preserve"> TAKEN THIS UP WITH THE BMA WHO HAVE ASSURED US THAT </w:t>
      </w:r>
      <w:r>
        <w:rPr>
          <w:rFonts w:ascii="Bliss 2 Light" w:hAnsi="Bliss 2 Light"/>
          <w:b/>
          <w:bCs/>
          <w:color w:val="FF0000"/>
          <w:sz w:val="24"/>
          <w:szCs w:val="24"/>
        </w:rPr>
        <w:t>THIS HAS IN TURN BEEN TAKEN UP WITH</w:t>
      </w:r>
      <w:r w:rsidRPr="00707733">
        <w:rPr>
          <w:rFonts w:ascii="Bliss 2 Light" w:hAnsi="Bliss 2 Light"/>
          <w:b/>
          <w:bCs/>
          <w:color w:val="FF0000"/>
          <w:sz w:val="24"/>
          <w:szCs w:val="24"/>
        </w:rPr>
        <w:t xml:space="preserve"> NHSE AND NHSI.  THEY ARE FOLLOWING THIS UP AS A MATTER OF URGENCY AND WILL HOPEFULLY HAVE SOMETHING TO SHARE WITH THE LMC AND PRACTICES SOON.</w:t>
      </w:r>
    </w:p>
    <w:p w14:paraId="015B272A" w14:textId="77777777" w:rsidR="00707733" w:rsidRDefault="00707733" w:rsidP="00707733">
      <w:pPr>
        <w:spacing w:after="0" w:line="240" w:lineRule="auto"/>
      </w:pPr>
      <w:r>
        <w:t> </w:t>
      </w:r>
    </w:p>
    <w:p w14:paraId="49993DBA" w14:textId="77777777" w:rsidR="000D1056" w:rsidRDefault="00EC7C6A" w:rsidP="000D1056">
      <w:hyperlink r:id="rId7" w:history="1">
        <w:r w:rsidR="000D1056" w:rsidRPr="00CF7AB8">
          <w:rPr>
            <w:rStyle w:val="Hyperlink"/>
          </w:rPr>
          <w:t>https://digital.nhs.uk/data-and-information/areas-of-interest/workforce/national-workforce-reporting-system-nwrs-workforce-census-module</w:t>
        </w:r>
      </w:hyperlink>
    </w:p>
    <w:bookmarkEnd w:id="0"/>
    <w:p w14:paraId="1EAC116E" w14:textId="69B88C15" w:rsidR="003C21F5" w:rsidRDefault="00D65CF5" w:rsidP="003C21F5">
      <w:pPr>
        <w:spacing w:after="0" w:line="240" w:lineRule="auto"/>
        <w:rPr>
          <w:rFonts w:ascii="Bliss 2 Light" w:hAnsi="Bliss 2 Light"/>
          <w:sz w:val="24"/>
          <w:szCs w:val="24"/>
        </w:rPr>
      </w:pPr>
      <w:r>
        <w:rPr>
          <w:rFonts w:ascii="Bliss 2 Light" w:hAnsi="Bliss 2 Light"/>
          <w:sz w:val="24"/>
          <w:szCs w:val="24"/>
        </w:rPr>
        <w:lastRenderedPageBreak/>
        <w:t>------------------------------------------------------------------------------------------------------------------------</w:t>
      </w:r>
    </w:p>
    <w:p w14:paraId="1937E541" w14:textId="29AF6BEB" w:rsidR="003C21F5" w:rsidRDefault="003C21F5" w:rsidP="003C21F5">
      <w:pPr>
        <w:spacing w:after="0" w:line="240" w:lineRule="auto"/>
        <w:rPr>
          <w:rFonts w:ascii="Bliss 2 Light" w:hAnsi="Bliss 2 Light"/>
          <w:sz w:val="24"/>
          <w:szCs w:val="24"/>
        </w:rPr>
      </w:pPr>
      <w:r>
        <w:rPr>
          <w:rFonts w:ascii="Bliss 2 Light" w:hAnsi="Bliss 2 Light"/>
          <w:b/>
          <w:bCs/>
          <w:sz w:val="24"/>
          <w:szCs w:val="24"/>
        </w:rPr>
        <w:t xml:space="preserve">2. </w:t>
      </w:r>
      <w:r w:rsidRPr="002A03B0">
        <w:rPr>
          <w:rFonts w:ascii="Bliss 2 Light" w:hAnsi="Bliss 2 Light"/>
          <w:b/>
          <w:bCs/>
          <w:sz w:val="28"/>
          <w:szCs w:val="28"/>
          <w:u w:val="single"/>
        </w:rPr>
        <w:t>Collection of data relating to appointments in General Practice</w:t>
      </w:r>
      <w:r>
        <w:rPr>
          <w:rFonts w:ascii="Bliss 2 Light" w:hAnsi="Bliss 2 Light"/>
          <w:sz w:val="24"/>
          <w:szCs w:val="24"/>
        </w:rPr>
        <w:t xml:space="preserve"> This is awaiting further NHS England </w:t>
      </w:r>
      <w:r w:rsidR="00865144">
        <w:rPr>
          <w:rFonts w:ascii="Bliss 2 Light" w:hAnsi="Bliss 2 Light"/>
          <w:sz w:val="24"/>
          <w:szCs w:val="24"/>
        </w:rPr>
        <w:t>guidance,</w:t>
      </w:r>
      <w:r>
        <w:rPr>
          <w:rFonts w:ascii="Bliss 2 Light" w:hAnsi="Bliss 2 Light"/>
          <w:sz w:val="24"/>
          <w:szCs w:val="24"/>
        </w:rPr>
        <w:t xml:space="preserve"> but the aim is to </w:t>
      </w:r>
      <w:r w:rsidR="00865144">
        <w:rPr>
          <w:rFonts w:ascii="Bliss 2 Light" w:hAnsi="Bliss 2 Light"/>
          <w:sz w:val="24"/>
          <w:szCs w:val="24"/>
        </w:rPr>
        <w:t>categorise</w:t>
      </w:r>
      <w:r>
        <w:rPr>
          <w:rFonts w:ascii="Bliss 2 Light" w:hAnsi="Bliss 2 Light"/>
          <w:sz w:val="24"/>
          <w:szCs w:val="24"/>
        </w:rPr>
        <w:t xml:space="preserve"> the appointment types offered by practices in a standard way so that a practice data extraction allows a standardised set of statistics about appointment types </w:t>
      </w:r>
      <w:r w:rsidR="009E7C86">
        <w:rPr>
          <w:rFonts w:ascii="Bliss 2 Light" w:hAnsi="Bliss 2 Light"/>
          <w:sz w:val="24"/>
          <w:szCs w:val="24"/>
        </w:rPr>
        <w:t xml:space="preserve">that are </w:t>
      </w:r>
      <w:r>
        <w:rPr>
          <w:rFonts w:ascii="Bliss 2 Light" w:hAnsi="Bliss 2 Light"/>
          <w:sz w:val="24"/>
          <w:szCs w:val="24"/>
        </w:rPr>
        <w:t xml:space="preserve">available.  </w:t>
      </w:r>
      <w:r w:rsidR="00D65CF5">
        <w:rPr>
          <w:rFonts w:ascii="Bliss 2 Light" w:hAnsi="Bliss 2 Light"/>
          <w:b/>
          <w:bCs/>
          <w:sz w:val="24"/>
          <w:szCs w:val="24"/>
        </w:rPr>
        <w:t>Practices</w:t>
      </w:r>
      <w:r w:rsidRPr="00D65CF5">
        <w:rPr>
          <w:rFonts w:ascii="Bliss 2 Light" w:hAnsi="Bliss 2 Light"/>
          <w:b/>
          <w:bCs/>
          <w:sz w:val="24"/>
          <w:szCs w:val="24"/>
        </w:rPr>
        <w:t xml:space="preserve"> should note that the way in which practices organise their appointments; and the numbers of each type of appointment</w:t>
      </w:r>
      <w:r w:rsidR="00EC535F" w:rsidRPr="00D65CF5">
        <w:rPr>
          <w:rFonts w:ascii="Bliss 2 Light" w:hAnsi="Bliss 2 Light"/>
          <w:b/>
          <w:bCs/>
          <w:sz w:val="24"/>
          <w:szCs w:val="24"/>
        </w:rPr>
        <w:t>s</w:t>
      </w:r>
      <w:r w:rsidRPr="00D65CF5">
        <w:rPr>
          <w:rFonts w:ascii="Bliss 2 Light" w:hAnsi="Bliss 2 Light"/>
          <w:b/>
          <w:bCs/>
          <w:sz w:val="24"/>
          <w:szCs w:val="24"/>
        </w:rPr>
        <w:t>, remain entirely a matter for their practice.</w:t>
      </w:r>
    </w:p>
    <w:p w14:paraId="66C7CFF8" w14:textId="77777777" w:rsidR="00D65CF5" w:rsidRPr="00D65CF5" w:rsidRDefault="00D65CF5" w:rsidP="00D65CF5">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65CF5">
        <w:rPr>
          <w:rFonts w:ascii="Times New Roman" w:eastAsia="Times New Roman" w:hAnsi="Times New Roman" w:cs="Times New Roman"/>
          <w:b/>
          <w:bCs/>
          <w:sz w:val="27"/>
          <w:szCs w:val="27"/>
          <w:lang w:eastAsia="en-GB"/>
        </w:rPr>
        <w:t>What is the programme aiming to achieve?</w:t>
      </w:r>
    </w:p>
    <w:p w14:paraId="1A82397C" w14:textId="77777777" w:rsidR="00D65CF5" w:rsidRPr="00D65CF5" w:rsidRDefault="00D65CF5" w:rsidP="00D65CF5">
      <w:pPr>
        <w:spacing w:before="100" w:beforeAutospacing="1" w:after="100" w:afterAutospacing="1" w:line="240" w:lineRule="auto"/>
        <w:rPr>
          <w:rFonts w:ascii="Times New Roman" w:eastAsia="Times New Roman" w:hAnsi="Times New Roman" w:cs="Times New Roman"/>
          <w:sz w:val="24"/>
          <w:szCs w:val="24"/>
          <w:lang w:eastAsia="en-GB"/>
        </w:rPr>
      </w:pPr>
      <w:r w:rsidRPr="00D65CF5">
        <w:rPr>
          <w:rFonts w:ascii="Times New Roman" w:eastAsia="Times New Roman" w:hAnsi="Times New Roman" w:cs="Times New Roman"/>
          <w:sz w:val="24"/>
          <w:szCs w:val="24"/>
          <w:lang w:eastAsia="en-GB"/>
        </w:rPr>
        <w:t>During 2020-21 a range of improvements  is planned to improve the quality of general practice  appointment data (GPAD). This aims to ensure all appointments are being recorded in general practice appointment books, in order to fully capture the scale of work and workload in general practice. Variation in how appointment books are used and in how the different IT systems function, means that the current publication has a number of limitations and inaccuracies, potentially giving an inaccurate picture of overall activity and workload in general practice.</w:t>
      </w:r>
    </w:p>
    <w:p w14:paraId="10E3FC1A" w14:textId="77777777" w:rsidR="00D65CF5" w:rsidRPr="00D65CF5" w:rsidRDefault="00D65CF5" w:rsidP="00D65CF5">
      <w:pPr>
        <w:spacing w:before="100" w:beforeAutospacing="1" w:after="100" w:afterAutospacing="1" w:line="240" w:lineRule="auto"/>
        <w:rPr>
          <w:rFonts w:ascii="Times New Roman" w:eastAsia="Times New Roman" w:hAnsi="Times New Roman" w:cs="Times New Roman"/>
          <w:sz w:val="24"/>
          <w:szCs w:val="24"/>
          <w:lang w:eastAsia="en-GB"/>
        </w:rPr>
      </w:pPr>
      <w:r w:rsidRPr="00D65CF5">
        <w:rPr>
          <w:rFonts w:ascii="Times New Roman" w:eastAsia="Times New Roman" w:hAnsi="Times New Roman" w:cs="Times New Roman"/>
          <w:sz w:val="24"/>
          <w:szCs w:val="24"/>
          <w:lang w:eastAsia="en-GB"/>
        </w:rPr>
        <w:t>NHS England and NHS Improvement, NHS X and NHS Digital are working with GP appointment book system suppliers and want to also work with general practice to improve data quality, so that it fairly represents the appointment activity carried out across practices and general practice providers in England.</w:t>
      </w:r>
    </w:p>
    <w:p w14:paraId="154B31D0" w14:textId="77777777" w:rsidR="00D65CF5" w:rsidRPr="00D65CF5" w:rsidRDefault="00D65CF5" w:rsidP="00D65CF5">
      <w:pPr>
        <w:spacing w:before="100" w:beforeAutospacing="1" w:after="100" w:afterAutospacing="1" w:line="240" w:lineRule="auto"/>
        <w:rPr>
          <w:rFonts w:ascii="Times New Roman" w:eastAsia="Times New Roman" w:hAnsi="Times New Roman" w:cs="Times New Roman"/>
          <w:sz w:val="24"/>
          <w:szCs w:val="24"/>
          <w:lang w:eastAsia="en-GB"/>
        </w:rPr>
      </w:pPr>
      <w:r w:rsidRPr="00D65CF5">
        <w:rPr>
          <w:rFonts w:ascii="Times New Roman" w:eastAsia="Times New Roman" w:hAnsi="Times New Roman" w:cs="Times New Roman"/>
          <w:sz w:val="24"/>
          <w:szCs w:val="24"/>
          <w:lang w:eastAsia="en-GB"/>
        </w:rPr>
        <w:t>Our primary focus while doing this will be on minimising the burden of this process on practices and maximising the benefit for them and for Primary Care Networks.</w:t>
      </w:r>
    </w:p>
    <w:p w14:paraId="0F590490" w14:textId="77777777" w:rsidR="00D65CF5" w:rsidRDefault="00EC7C6A" w:rsidP="00D65CF5">
      <w:hyperlink r:id="rId8" w:history="1">
        <w:r w:rsidR="00D65CF5" w:rsidRPr="00F61E81">
          <w:rPr>
            <w:rStyle w:val="Hyperlink"/>
          </w:rPr>
          <w:t>https://www.england.nhs.uk/gp/gpad/</w:t>
        </w:r>
      </w:hyperlink>
    </w:p>
    <w:p w14:paraId="40E5166A" w14:textId="58FDC2F3" w:rsidR="00D65CF5" w:rsidRDefault="00D65CF5" w:rsidP="003C21F5">
      <w:pPr>
        <w:spacing w:after="0" w:line="240" w:lineRule="auto"/>
        <w:rPr>
          <w:rFonts w:ascii="Bliss 2 Light" w:hAnsi="Bliss 2 Light"/>
          <w:sz w:val="24"/>
          <w:szCs w:val="24"/>
        </w:rPr>
      </w:pPr>
      <w:r>
        <w:rPr>
          <w:rFonts w:ascii="Bliss 2 Light" w:hAnsi="Bliss 2 Light"/>
          <w:sz w:val="24"/>
          <w:szCs w:val="24"/>
        </w:rPr>
        <w:t>--------------------------------------------------------------------------------------------------------------------------</w:t>
      </w:r>
    </w:p>
    <w:p w14:paraId="4DED0324" w14:textId="189E6BA6" w:rsidR="003C21F5" w:rsidRDefault="003C21F5" w:rsidP="003C21F5">
      <w:pPr>
        <w:spacing w:after="0" w:line="240" w:lineRule="auto"/>
        <w:rPr>
          <w:rFonts w:ascii="Bliss 2 Light" w:hAnsi="Bliss 2 Light"/>
          <w:sz w:val="24"/>
          <w:szCs w:val="24"/>
        </w:rPr>
      </w:pPr>
    </w:p>
    <w:p w14:paraId="1094848B" w14:textId="1A2CC34A" w:rsidR="003C21F5" w:rsidRDefault="0019317C" w:rsidP="003C21F5">
      <w:pPr>
        <w:spacing w:after="0" w:line="240" w:lineRule="auto"/>
        <w:rPr>
          <w:rFonts w:ascii="Bliss 2 Light" w:hAnsi="Bliss 2 Light"/>
          <w:sz w:val="24"/>
          <w:szCs w:val="24"/>
        </w:rPr>
      </w:pPr>
      <w:r>
        <w:rPr>
          <w:rFonts w:ascii="Bliss 2 Light" w:hAnsi="Bliss 2 Light"/>
          <w:b/>
          <w:bCs/>
          <w:sz w:val="24"/>
          <w:szCs w:val="24"/>
        </w:rPr>
        <w:t xml:space="preserve">3. </w:t>
      </w:r>
      <w:r w:rsidRPr="002A03B0">
        <w:rPr>
          <w:rFonts w:ascii="Bliss 2 Light" w:hAnsi="Bliss 2 Light"/>
          <w:b/>
          <w:bCs/>
          <w:sz w:val="28"/>
          <w:szCs w:val="28"/>
          <w:u w:val="single"/>
        </w:rPr>
        <w:t>A requirement for practices to maintain an accurate and up-to-date list of patients;</w:t>
      </w:r>
      <w:r>
        <w:rPr>
          <w:rFonts w:ascii="Bliss 2 Light" w:hAnsi="Bliss 2 Light"/>
          <w:sz w:val="24"/>
          <w:szCs w:val="24"/>
        </w:rPr>
        <w:t xml:space="preserve"> this really restates the current expectations upon practices</w:t>
      </w:r>
      <w:r w:rsidR="00EC535F">
        <w:rPr>
          <w:rFonts w:ascii="Bliss 2 Light" w:hAnsi="Bliss 2 Light"/>
          <w:sz w:val="24"/>
          <w:szCs w:val="24"/>
        </w:rPr>
        <w:t>,</w:t>
      </w:r>
      <w:r>
        <w:rPr>
          <w:rFonts w:ascii="Bliss 2 Light" w:hAnsi="Bliss 2 Light"/>
          <w:sz w:val="24"/>
          <w:szCs w:val="24"/>
        </w:rPr>
        <w:t xml:space="preserve"> and colleagues will not need to change their current arrangements providing registration and deregistration processes </w:t>
      </w:r>
      <w:r w:rsidR="009E7C86">
        <w:rPr>
          <w:rFonts w:ascii="Bliss 2 Light" w:hAnsi="Bliss 2 Light"/>
          <w:sz w:val="24"/>
          <w:szCs w:val="24"/>
        </w:rPr>
        <w:t xml:space="preserve">within their practices </w:t>
      </w:r>
      <w:r>
        <w:rPr>
          <w:rFonts w:ascii="Bliss 2 Light" w:hAnsi="Bliss 2 Light"/>
          <w:sz w:val="24"/>
          <w:szCs w:val="24"/>
        </w:rPr>
        <w:t>are followed under reasonable timescales.</w:t>
      </w:r>
    </w:p>
    <w:p w14:paraId="424CADA6" w14:textId="12AE82E3" w:rsidR="00D65CF5" w:rsidRDefault="00D65CF5" w:rsidP="003C21F5">
      <w:pPr>
        <w:spacing w:after="0" w:line="240" w:lineRule="auto"/>
        <w:rPr>
          <w:rFonts w:ascii="Bliss 2 Light" w:hAnsi="Bliss 2 Light"/>
          <w:sz w:val="24"/>
          <w:szCs w:val="24"/>
        </w:rPr>
      </w:pPr>
    </w:p>
    <w:p w14:paraId="4BE0002D" w14:textId="2FADFD8E" w:rsidR="00D65CF5" w:rsidRDefault="002C209C" w:rsidP="003C21F5">
      <w:pPr>
        <w:spacing w:after="0" w:line="240" w:lineRule="auto"/>
        <w:rPr>
          <w:rFonts w:ascii="Bliss 2 Light" w:hAnsi="Bliss 2 Light"/>
          <w:sz w:val="24"/>
          <w:szCs w:val="24"/>
        </w:rPr>
      </w:pPr>
      <w:r w:rsidRPr="002C209C">
        <w:rPr>
          <w:rFonts w:ascii="Bliss 2 Light" w:hAnsi="Bliss 2 Light"/>
          <w:sz w:val="24"/>
          <w:szCs w:val="24"/>
        </w:rPr>
        <w:t>List cleansing:</w:t>
      </w:r>
      <w:r>
        <w:rPr>
          <w:rFonts w:ascii="Bliss 2 Light" w:hAnsi="Bliss 2 Light"/>
          <w:sz w:val="24"/>
          <w:szCs w:val="24"/>
        </w:rPr>
        <w:t xml:space="preserve">  </w:t>
      </w:r>
      <w:r w:rsidRPr="002C209C">
        <w:rPr>
          <w:rFonts w:ascii="Bliss 2 Light" w:hAnsi="Bliss 2 Light"/>
          <w:sz w:val="24"/>
          <w:szCs w:val="24"/>
        </w:rPr>
        <w:t>A</w:t>
      </w:r>
      <w:r>
        <w:rPr>
          <w:rFonts w:ascii="Bliss 2 Light" w:hAnsi="Bliss 2 Light"/>
          <w:sz w:val="24"/>
          <w:szCs w:val="24"/>
        </w:rPr>
        <w:t xml:space="preserve"> </w:t>
      </w:r>
      <w:r w:rsidRPr="002C209C">
        <w:rPr>
          <w:rFonts w:ascii="Bliss 2 Light" w:hAnsi="Bliss 2 Light"/>
          <w:sz w:val="24"/>
          <w:szCs w:val="24"/>
        </w:rPr>
        <w:t>new</w:t>
      </w:r>
      <w:r>
        <w:rPr>
          <w:rFonts w:ascii="Bliss 2 Light" w:hAnsi="Bliss 2 Light"/>
          <w:sz w:val="24"/>
          <w:szCs w:val="24"/>
        </w:rPr>
        <w:t xml:space="preserve"> </w:t>
      </w:r>
      <w:r w:rsidRPr="002C209C">
        <w:rPr>
          <w:rFonts w:ascii="Bliss 2 Light" w:hAnsi="Bliss 2 Light"/>
          <w:sz w:val="24"/>
          <w:szCs w:val="24"/>
        </w:rPr>
        <w:t>requirement for practices to support NHS England to fulfil its statutory duties to maintain and accurate and up-to-date list of patients, by complying</w:t>
      </w:r>
      <w:r>
        <w:rPr>
          <w:rFonts w:ascii="Bliss 2 Light" w:hAnsi="Bliss 2 Light"/>
          <w:sz w:val="24"/>
          <w:szCs w:val="24"/>
        </w:rPr>
        <w:t xml:space="preserve"> </w:t>
      </w:r>
      <w:r w:rsidRPr="002C209C">
        <w:rPr>
          <w:rFonts w:ascii="Bliss 2 Light" w:hAnsi="Bliss 2 Light"/>
          <w:sz w:val="24"/>
          <w:szCs w:val="24"/>
        </w:rPr>
        <w:t>with reasonable requests for information and updating their patient lists</w:t>
      </w:r>
      <w:r>
        <w:rPr>
          <w:rFonts w:ascii="Arial" w:hAnsi="Arial" w:cs="Arial"/>
          <w:sz w:val="30"/>
          <w:szCs w:val="30"/>
        </w:rPr>
        <w:t>.</w:t>
      </w:r>
    </w:p>
    <w:p w14:paraId="4E5A0752" w14:textId="40E4FB37" w:rsidR="00D65CF5" w:rsidRDefault="00D65CF5" w:rsidP="003C21F5">
      <w:pPr>
        <w:spacing w:after="0" w:line="240" w:lineRule="auto"/>
        <w:rPr>
          <w:rFonts w:ascii="Bliss 2 Light" w:hAnsi="Bliss 2 Light"/>
          <w:sz w:val="24"/>
          <w:szCs w:val="24"/>
        </w:rPr>
      </w:pPr>
    </w:p>
    <w:p w14:paraId="2B864386" w14:textId="46320363" w:rsidR="002C209C" w:rsidRDefault="00EC7C6A" w:rsidP="003C21F5">
      <w:pPr>
        <w:spacing w:after="0" w:line="240" w:lineRule="auto"/>
        <w:rPr>
          <w:rFonts w:ascii="Bliss 2 Light" w:hAnsi="Bliss 2 Light"/>
          <w:sz w:val="24"/>
          <w:szCs w:val="24"/>
        </w:rPr>
      </w:pPr>
      <w:hyperlink r:id="rId9" w:history="1">
        <w:r w:rsidR="002C209C" w:rsidRPr="00A627E2">
          <w:rPr>
            <w:rStyle w:val="Hyperlink"/>
            <w:rFonts w:ascii="Bliss 2 Light" w:hAnsi="Bliss 2 Light"/>
            <w:sz w:val="24"/>
            <w:szCs w:val="24"/>
          </w:rPr>
          <w:t>https://www.bma.org.uk/advice-and-support/gp-practices/managing-your-practice-list/practice-list-validation-by-pcse</w:t>
        </w:r>
      </w:hyperlink>
    </w:p>
    <w:p w14:paraId="07B8D3FF" w14:textId="58A987BF" w:rsidR="002C209C" w:rsidRDefault="002C209C" w:rsidP="003C21F5">
      <w:pPr>
        <w:spacing w:after="0" w:line="240" w:lineRule="auto"/>
        <w:rPr>
          <w:rFonts w:ascii="Bliss 2 Light" w:hAnsi="Bliss 2 Light"/>
          <w:sz w:val="24"/>
          <w:szCs w:val="24"/>
        </w:rPr>
      </w:pPr>
    </w:p>
    <w:p w14:paraId="7AC9875F" w14:textId="15738780" w:rsidR="002C209C" w:rsidRDefault="00EC7C6A" w:rsidP="003C21F5">
      <w:pPr>
        <w:spacing w:after="0" w:line="240" w:lineRule="auto"/>
        <w:rPr>
          <w:rFonts w:ascii="Bliss 2 Light" w:hAnsi="Bliss 2 Light"/>
          <w:sz w:val="24"/>
          <w:szCs w:val="24"/>
        </w:rPr>
      </w:pPr>
      <w:hyperlink r:id="rId10" w:history="1">
        <w:r w:rsidR="002C209C" w:rsidRPr="00A627E2">
          <w:rPr>
            <w:rStyle w:val="Hyperlink"/>
            <w:rFonts w:ascii="Bliss 2 Light" w:hAnsi="Bliss 2 Light"/>
            <w:sz w:val="24"/>
            <w:szCs w:val="24"/>
          </w:rPr>
          <w:t>https://pcse.england.nhs.uk/news/2019/july/important-information-about-gp-patient-data-lists/</w:t>
        </w:r>
      </w:hyperlink>
    </w:p>
    <w:p w14:paraId="28C73778" w14:textId="2800FA47" w:rsidR="002C209C" w:rsidRDefault="002C209C" w:rsidP="003C21F5">
      <w:pPr>
        <w:spacing w:after="0" w:line="240" w:lineRule="auto"/>
        <w:rPr>
          <w:rFonts w:ascii="Bliss 2 Light" w:hAnsi="Bliss 2 Light"/>
          <w:sz w:val="24"/>
          <w:szCs w:val="24"/>
        </w:rPr>
      </w:pPr>
    </w:p>
    <w:p w14:paraId="488E42AB" w14:textId="6D2BD908" w:rsidR="002C209C" w:rsidRDefault="002C209C" w:rsidP="003C21F5">
      <w:pPr>
        <w:spacing w:after="0" w:line="240" w:lineRule="auto"/>
        <w:rPr>
          <w:rFonts w:ascii="Bliss 2 Light" w:hAnsi="Bliss 2 Light"/>
          <w:sz w:val="24"/>
          <w:szCs w:val="24"/>
        </w:rPr>
      </w:pPr>
      <w:r>
        <w:rPr>
          <w:rFonts w:ascii="Bliss 2 Light" w:hAnsi="Bliss 2 Light"/>
          <w:sz w:val="24"/>
          <w:szCs w:val="24"/>
        </w:rPr>
        <w:t>--------------------------------------------------------------------------------------------------------------------------</w:t>
      </w:r>
    </w:p>
    <w:p w14:paraId="058F17A5" w14:textId="5D8AD48E" w:rsidR="0019317C" w:rsidRDefault="0019317C" w:rsidP="003C21F5">
      <w:pPr>
        <w:spacing w:after="0" w:line="240" w:lineRule="auto"/>
        <w:rPr>
          <w:rFonts w:ascii="Bliss 2 Light" w:hAnsi="Bliss 2 Light"/>
          <w:sz w:val="24"/>
          <w:szCs w:val="24"/>
        </w:rPr>
      </w:pPr>
    </w:p>
    <w:p w14:paraId="32092D98" w14:textId="49CBCDAB" w:rsidR="0019317C" w:rsidRDefault="0019317C" w:rsidP="003C21F5">
      <w:pPr>
        <w:spacing w:after="0" w:line="240" w:lineRule="auto"/>
        <w:rPr>
          <w:rFonts w:ascii="Bliss 2 Light" w:hAnsi="Bliss 2 Light"/>
          <w:sz w:val="24"/>
          <w:szCs w:val="24"/>
        </w:rPr>
      </w:pPr>
      <w:r>
        <w:rPr>
          <w:rFonts w:ascii="Bliss 2 Light" w:hAnsi="Bliss 2 Light"/>
          <w:b/>
          <w:bCs/>
          <w:sz w:val="24"/>
          <w:szCs w:val="24"/>
        </w:rPr>
        <w:lastRenderedPageBreak/>
        <w:t xml:space="preserve">4. </w:t>
      </w:r>
      <w:r w:rsidRPr="002A03B0">
        <w:rPr>
          <w:rFonts w:ascii="Bliss 2 Light" w:hAnsi="Bliss 2 Light"/>
          <w:b/>
          <w:bCs/>
          <w:sz w:val="28"/>
          <w:szCs w:val="28"/>
          <w:u w:val="single"/>
        </w:rPr>
        <w:t>Clarification of the arrangements for removing a patient who has moved out of the practice boundary area</w:t>
      </w:r>
      <w:r>
        <w:rPr>
          <w:rFonts w:ascii="Bliss 2 Light" w:hAnsi="Bliss 2 Light"/>
          <w:sz w:val="24"/>
          <w:szCs w:val="24"/>
        </w:rPr>
        <w:t xml:space="preserve">  </w:t>
      </w:r>
      <w:r w:rsidR="00F30093">
        <w:rPr>
          <w:rFonts w:ascii="Bliss 2 Light" w:hAnsi="Bliss 2 Light"/>
          <w:sz w:val="24"/>
          <w:szCs w:val="24"/>
        </w:rPr>
        <w:t>Practices</w:t>
      </w:r>
      <w:r>
        <w:rPr>
          <w:rFonts w:ascii="Bliss 2 Light" w:hAnsi="Bliss 2 Light"/>
          <w:sz w:val="24"/>
          <w:szCs w:val="24"/>
        </w:rPr>
        <w:t xml:space="preserve"> should note these new arrangements: if a patient moves residence outside your boundary and your practice policy is to deregister such patients, a policy that should [with occasional clinical exceptions, such as </w:t>
      </w:r>
      <w:proofErr w:type="spellStart"/>
      <w:r>
        <w:rPr>
          <w:rFonts w:ascii="Bliss 2 Light" w:hAnsi="Bliss 2 Light"/>
          <w:sz w:val="24"/>
          <w:szCs w:val="24"/>
        </w:rPr>
        <w:t>EoL</w:t>
      </w:r>
      <w:proofErr w:type="spellEnd"/>
      <w:r>
        <w:rPr>
          <w:rFonts w:ascii="Bliss 2 Light" w:hAnsi="Bliss 2 Light"/>
          <w:sz w:val="24"/>
          <w:szCs w:val="24"/>
        </w:rPr>
        <w:t>]  be followed in a consistent and non-discriminatory way</w:t>
      </w:r>
      <w:r w:rsidR="009E7C86">
        <w:rPr>
          <w:rFonts w:ascii="Bliss 2 Light" w:hAnsi="Bliss 2 Light"/>
          <w:sz w:val="24"/>
          <w:szCs w:val="24"/>
        </w:rPr>
        <w:t>,</w:t>
      </w:r>
      <w:r>
        <w:rPr>
          <w:rFonts w:ascii="Bliss 2 Light" w:hAnsi="Bliss 2 Light"/>
          <w:sz w:val="24"/>
          <w:szCs w:val="24"/>
        </w:rPr>
        <w:t xml:space="preserve"> then practices should note:</w:t>
      </w:r>
    </w:p>
    <w:p w14:paraId="012E2829" w14:textId="62C76491" w:rsidR="0019317C" w:rsidRDefault="0019317C" w:rsidP="003C21F5">
      <w:pPr>
        <w:spacing w:after="0" w:line="240" w:lineRule="auto"/>
        <w:rPr>
          <w:rFonts w:ascii="Bliss 2 Light" w:hAnsi="Bliss 2 Light"/>
          <w:sz w:val="24"/>
          <w:szCs w:val="24"/>
        </w:rPr>
      </w:pPr>
    </w:p>
    <w:p w14:paraId="1669E6F2" w14:textId="11C4E20E" w:rsidR="0019317C" w:rsidRDefault="0019317C" w:rsidP="0019317C">
      <w:pPr>
        <w:pStyle w:val="ListParagraph"/>
        <w:numPr>
          <w:ilvl w:val="0"/>
          <w:numId w:val="1"/>
        </w:numPr>
        <w:spacing w:after="0" w:line="240" w:lineRule="auto"/>
        <w:rPr>
          <w:rFonts w:ascii="Bliss 2 Light" w:hAnsi="Bliss 2 Light"/>
          <w:sz w:val="24"/>
          <w:szCs w:val="24"/>
        </w:rPr>
      </w:pPr>
      <w:r>
        <w:rPr>
          <w:rFonts w:ascii="Bliss 2 Light" w:hAnsi="Bliss 2 Light"/>
          <w:sz w:val="24"/>
          <w:szCs w:val="24"/>
        </w:rPr>
        <w:t>The patient will remain registered with the practice for 30 days after notification to PCSE that they are being deregistered</w:t>
      </w:r>
    </w:p>
    <w:p w14:paraId="4920FFBD" w14:textId="0D3C3A1C" w:rsidR="0019317C" w:rsidRDefault="0019317C" w:rsidP="0019317C">
      <w:pPr>
        <w:pStyle w:val="ListParagraph"/>
        <w:numPr>
          <w:ilvl w:val="0"/>
          <w:numId w:val="1"/>
        </w:numPr>
        <w:spacing w:after="0" w:line="240" w:lineRule="auto"/>
        <w:rPr>
          <w:rFonts w:ascii="Bliss 2 Light" w:hAnsi="Bliss 2 Light"/>
          <w:sz w:val="24"/>
          <w:szCs w:val="24"/>
        </w:rPr>
      </w:pPr>
      <w:r>
        <w:rPr>
          <w:rFonts w:ascii="Bliss 2 Light" w:hAnsi="Bliss 2 Light"/>
          <w:sz w:val="24"/>
          <w:szCs w:val="24"/>
        </w:rPr>
        <w:t xml:space="preserve">After 30 days the patient will be deregistered, or this will occur in a </w:t>
      </w:r>
      <w:r w:rsidR="009E7C86">
        <w:rPr>
          <w:rFonts w:ascii="Bliss 2 Light" w:hAnsi="Bliss 2 Light"/>
          <w:sz w:val="24"/>
          <w:szCs w:val="24"/>
        </w:rPr>
        <w:t>shorter</w:t>
      </w:r>
      <w:r>
        <w:rPr>
          <w:rFonts w:ascii="Bliss 2 Light" w:hAnsi="Bliss 2 Light"/>
          <w:sz w:val="24"/>
          <w:szCs w:val="24"/>
        </w:rPr>
        <w:t xml:space="preserve"> time if the patient registers with another GP practice, </w:t>
      </w:r>
      <w:r w:rsidR="009E7C86">
        <w:rPr>
          <w:rFonts w:ascii="Bliss 2 Light" w:hAnsi="Bliss 2 Light"/>
          <w:sz w:val="24"/>
          <w:szCs w:val="24"/>
        </w:rPr>
        <w:t>as this</w:t>
      </w:r>
      <w:r>
        <w:rPr>
          <w:rFonts w:ascii="Bliss 2 Light" w:hAnsi="Bliss 2 Light"/>
          <w:sz w:val="24"/>
          <w:szCs w:val="24"/>
        </w:rPr>
        <w:t xml:space="preserve"> will trigger deregistration</w:t>
      </w:r>
    </w:p>
    <w:p w14:paraId="4F11F52D" w14:textId="5367DBCC" w:rsidR="0019317C" w:rsidRDefault="0019317C" w:rsidP="0019317C">
      <w:pPr>
        <w:pStyle w:val="ListParagraph"/>
        <w:numPr>
          <w:ilvl w:val="0"/>
          <w:numId w:val="1"/>
        </w:numPr>
        <w:spacing w:after="0" w:line="240" w:lineRule="auto"/>
        <w:rPr>
          <w:rFonts w:ascii="Bliss 2 Light" w:hAnsi="Bliss 2 Light"/>
          <w:sz w:val="24"/>
          <w:szCs w:val="24"/>
        </w:rPr>
      </w:pPr>
      <w:r w:rsidRPr="00F30093">
        <w:rPr>
          <w:rFonts w:ascii="Bliss 2 Light" w:hAnsi="Bliss 2 Light"/>
          <w:b/>
          <w:bCs/>
          <w:sz w:val="24"/>
          <w:szCs w:val="24"/>
        </w:rPr>
        <w:t xml:space="preserve">The </w:t>
      </w:r>
      <w:r w:rsidR="00865144" w:rsidRPr="00F30093">
        <w:rPr>
          <w:rFonts w:ascii="Bliss 2 Light" w:hAnsi="Bliss 2 Light"/>
          <w:b/>
          <w:bCs/>
          <w:sz w:val="24"/>
          <w:szCs w:val="24"/>
        </w:rPr>
        <w:t>patient’s</w:t>
      </w:r>
      <w:r w:rsidRPr="00F30093">
        <w:rPr>
          <w:rFonts w:ascii="Bliss 2 Light" w:hAnsi="Bliss 2 Light"/>
          <w:b/>
          <w:bCs/>
          <w:sz w:val="24"/>
          <w:szCs w:val="24"/>
        </w:rPr>
        <w:t xml:space="preserve"> original practice will remain responsible for continuing to deliver primary medical services, but </w:t>
      </w:r>
      <w:r w:rsidR="00EC535F" w:rsidRPr="00F30093">
        <w:rPr>
          <w:rFonts w:ascii="Bliss 2 Light" w:hAnsi="Bliss 2 Light"/>
          <w:b/>
          <w:bCs/>
          <w:sz w:val="24"/>
          <w:szCs w:val="24"/>
        </w:rPr>
        <w:t xml:space="preserve">will not have </w:t>
      </w:r>
      <w:r w:rsidRPr="00F30093">
        <w:rPr>
          <w:rFonts w:ascii="Bliss 2 Light" w:hAnsi="Bliss 2 Light"/>
          <w:b/>
          <w:bCs/>
          <w:sz w:val="24"/>
          <w:szCs w:val="24"/>
        </w:rPr>
        <w:t>not to provide a Home Visiting service.</w:t>
      </w:r>
      <w:r>
        <w:rPr>
          <w:rFonts w:ascii="Bliss 2 Light" w:hAnsi="Bliss 2 Light"/>
          <w:sz w:val="24"/>
          <w:szCs w:val="24"/>
        </w:rPr>
        <w:t xml:space="preserve">  Although theoretically commissioned for Out-of-Area patients, in practice in most areas this service is not available.</w:t>
      </w:r>
    </w:p>
    <w:p w14:paraId="2005EE4B" w14:textId="71E5927F" w:rsidR="0019317C" w:rsidRDefault="0019317C" w:rsidP="0019317C">
      <w:pPr>
        <w:spacing w:after="0" w:line="240" w:lineRule="auto"/>
        <w:rPr>
          <w:rFonts w:ascii="Bliss 2 Light" w:hAnsi="Bliss 2 Light"/>
          <w:sz w:val="24"/>
          <w:szCs w:val="24"/>
        </w:rPr>
      </w:pPr>
    </w:p>
    <w:p w14:paraId="0F31FDAA" w14:textId="54A501FC" w:rsidR="0019317C" w:rsidRDefault="0019317C" w:rsidP="0019317C">
      <w:pPr>
        <w:spacing w:after="0" w:line="240" w:lineRule="auto"/>
        <w:rPr>
          <w:rFonts w:ascii="Bliss 2 Light" w:hAnsi="Bliss 2 Light"/>
          <w:sz w:val="24"/>
          <w:szCs w:val="24"/>
        </w:rPr>
      </w:pPr>
      <w:r>
        <w:rPr>
          <w:rFonts w:ascii="Bliss 2 Light" w:hAnsi="Bliss 2 Light"/>
          <w:sz w:val="24"/>
          <w:szCs w:val="24"/>
        </w:rPr>
        <w:t>The LMC therefore recommends that when advising patients of these arrangements they are warned that there may be no in-hours home-visiting service during those 30 days and the only reliable way to secure access to this service is to reregister promptly with another local GP service.</w:t>
      </w:r>
    </w:p>
    <w:p w14:paraId="594A0F4A" w14:textId="3F18337E" w:rsidR="00F00C5C" w:rsidRDefault="00F00C5C" w:rsidP="0019317C">
      <w:pPr>
        <w:spacing w:after="0" w:line="240" w:lineRule="auto"/>
        <w:rPr>
          <w:rFonts w:ascii="Bliss 2 Light" w:hAnsi="Bliss 2 Light"/>
          <w:sz w:val="24"/>
          <w:szCs w:val="24"/>
        </w:rPr>
      </w:pPr>
    </w:p>
    <w:p w14:paraId="1E7C385A" w14:textId="77777777" w:rsidR="00CF4530" w:rsidRDefault="00CF4530" w:rsidP="0019317C">
      <w:pPr>
        <w:spacing w:after="0" w:line="240" w:lineRule="auto"/>
        <w:rPr>
          <w:rFonts w:ascii="Bliss 2 Light" w:hAnsi="Bliss 2 Light"/>
          <w:sz w:val="24"/>
          <w:szCs w:val="24"/>
        </w:rPr>
      </w:pPr>
    </w:p>
    <w:p w14:paraId="3BF0778A" w14:textId="732B8FEB" w:rsidR="00F30093" w:rsidRDefault="00F30093" w:rsidP="0019317C">
      <w:pPr>
        <w:spacing w:after="0" w:line="240" w:lineRule="auto"/>
        <w:rPr>
          <w:rFonts w:ascii="Bliss 2 Light" w:hAnsi="Bliss 2 Light"/>
          <w:sz w:val="24"/>
          <w:szCs w:val="24"/>
        </w:rPr>
      </w:pPr>
      <w:r>
        <w:rPr>
          <w:rFonts w:ascii="Bliss 2 Light" w:hAnsi="Bliss 2 Light"/>
          <w:sz w:val="24"/>
          <w:szCs w:val="24"/>
        </w:rPr>
        <w:t>--------------------------------------------------------------------------------------------------------------------------</w:t>
      </w:r>
    </w:p>
    <w:p w14:paraId="37003257" w14:textId="1D9807D4" w:rsidR="0019317C" w:rsidRDefault="0019317C" w:rsidP="0019317C">
      <w:pPr>
        <w:spacing w:after="0" w:line="240" w:lineRule="auto"/>
        <w:rPr>
          <w:rFonts w:ascii="Bliss 2 Light" w:hAnsi="Bliss 2 Light"/>
          <w:sz w:val="24"/>
          <w:szCs w:val="24"/>
        </w:rPr>
      </w:pPr>
    </w:p>
    <w:p w14:paraId="6C7109C8" w14:textId="5AA89558" w:rsidR="0019317C" w:rsidRDefault="0019317C" w:rsidP="0019317C">
      <w:pPr>
        <w:spacing w:after="0" w:line="240" w:lineRule="auto"/>
        <w:rPr>
          <w:rFonts w:ascii="Bliss 2 Light" w:hAnsi="Bliss 2 Light"/>
          <w:sz w:val="24"/>
          <w:szCs w:val="24"/>
        </w:rPr>
      </w:pPr>
      <w:r>
        <w:rPr>
          <w:rFonts w:ascii="Bliss 2 Light" w:hAnsi="Bliss 2 Light"/>
          <w:b/>
          <w:bCs/>
          <w:sz w:val="24"/>
          <w:szCs w:val="24"/>
        </w:rPr>
        <w:t xml:space="preserve">5. </w:t>
      </w:r>
      <w:r w:rsidRPr="002A03B0">
        <w:rPr>
          <w:rFonts w:ascii="Bliss 2 Light" w:hAnsi="Bliss 2 Light"/>
          <w:b/>
          <w:bCs/>
          <w:sz w:val="28"/>
          <w:szCs w:val="28"/>
          <w:u w:val="single"/>
        </w:rPr>
        <w:t>Amendment to arrangements for patients who are violent and have been discharged from the local Special Allocation Scheme (Violent Patient Scheme)</w:t>
      </w:r>
      <w:r w:rsidR="00BA3D00">
        <w:rPr>
          <w:rFonts w:ascii="Bliss 2 Light" w:hAnsi="Bliss 2 Light"/>
          <w:b/>
          <w:bCs/>
          <w:sz w:val="24"/>
          <w:szCs w:val="24"/>
        </w:rPr>
        <w:t xml:space="preserve">  </w:t>
      </w:r>
      <w:r w:rsidR="00BA3D00">
        <w:rPr>
          <w:rFonts w:ascii="Bliss 2 Light" w:hAnsi="Bliss 2 Light"/>
          <w:sz w:val="24"/>
          <w:szCs w:val="24"/>
        </w:rPr>
        <w:t xml:space="preserve">A small number of practices have been </w:t>
      </w:r>
      <w:r w:rsidR="009E7C86">
        <w:rPr>
          <w:rFonts w:ascii="Bliss 2 Light" w:hAnsi="Bliss 2 Light"/>
          <w:sz w:val="24"/>
          <w:szCs w:val="24"/>
        </w:rPr>
        <w:t>d</w:t>
      </w:r>
      <w:r w:rsidR="00BA3D00">
        <w:rPr>
          <w:rFonts w:ascii="Bliss 2 Light" w:hAnsi="Bliss 2 Light"/>
          <w:sz w:val="24"/>
          <w:szCs w:val="24"/>
        </w:rPr>
        <w:t>eregistering patients who register following satisfactory discharge from their local Special Allocation Scheme, once they have been reviewed as part of that Schemes processes and it is decided they are no longer likely to behave violently or threaten violence.  Not all such patients on the Schemes can be appropriately discharged.</w:t>
      </w:r>
    </w:p>
    <w:p w14:paraId="1DC82CB2" w14:textId="23676B34" w:rsidR="00BA3D00" w:rsidRDefault="00BA3D00" w:rsidP="0019317C">
      <w:pPr>
        <w:spacing w:after="0" w:line="240" w:lineRule="auto"/>
        <w:rPr>
          <w:rFonts w:ascii="Bliss 2 Light" w:hAnsi="Bliss 2 Light"/>
          <w:sz w:val="24"/>
          <w:szCs w:val="24"/>
        </w:rPr>
      </w:pPr>
    </w:p>
    <w:p w14:paraId="518868C1" w14:textId="14794181" w:rsidR="00BA3D00" w:rsidRDefault="00BA3D00" w:rsidP="0019317C">
      <w:pPr>
        <w:spacing w:after="0" w:line="240" w:lineRule="auto"/>
        <w:rPr>
          <w:rFonts w:ascii="Bliss 2 Light" w:hAnsi="Bliss 2 Light"/>
          <w:sz w:val="24"/>
          <w:szCs w:val="24"/>
        </w:rPr>
      </w:pPr>
      <w:r>
        <w:rPr>
          <w:rFonts w:ascii="Bliss 2 Light" w:hAnsi="Bliss 2 Light"/>
          <w:sz w:val="24"/>
          <w:szCs w:val="24"/>
        </w:rPr>
        <w:t>A patient discharged from such a scheme cannot be deregistered, after registration, or refused registration, if eligible, simply because they have been included within the Special Allocation Scheme</w:t>
      </w:r>
      <w:r w:rsidR="009E7C86">
        <w:rPr>
          <w:rFonts w:ascii="Bliss 2 Light" w:hAnsi="Bliss 2 Light"/>
          <w:sz w:val="24"/>
          <w:szCs w:val="24"/>
        </w:rPr>
        <w:t xml:space="preserve"> in the past</w:t>
      </w:r>
      <w:r>
        <w:rPr>
          <w:rFonts w:ascii="Bliss 2 Light" w:hAnsi="Bliss 2 Light"/>
          <w:sz w:val="24"/>
          <w:szCs w:val="24"/>
        </w:rPr>
        <w:t xml:space="preserve">.  There needs to be, if deregistration is being contemplated by the practice, a new reason to do so arising from the </w:t>
      </w:r>
      <w:r w:rsidR="00865144">
        <w:rPr>
          <w:rFonts w:ascii="Bliss 2 Light" w:hAnsi="Bliss 2 Light"/>
          <w:sz w:val="24"/>
          <w:szCs w:val="24"/>
        </w:rPr>
        <w:t>patient’s</w:t>
      </w:r>
      <w:r>
        <w:rPr>
          <w:rFonts w:ascii="Bliss 2 Light" w:hAnsi="Bliss 2 Light"/>
          <w:sz w:val="24"/>
          <w:szCs w:val="24"/>
        </w:rPr>
        <w:t xml:space="preserve"> behaviour or other matters subsequent to their registration.</w:t>
      </w:r>
    </w:p>
    <w:p w14:paraId="0AD2A0C6" w14:textId="4D6E742A" w:rsidR="00FF48A1" w:rsidRDefault="00FF48A1" w:rsidP="0019317C">
      <w:pPr>
        <w:spacing w:after="0" w:line="240" w:lineRule="auto"/>
        <w:rPr>
          <w:rFonts w:ascii="Bliss 2 Light" w:hAnsi="Bliss 2 Light"/>
          <w:sz w:val="24"/>
          <w:szCs w:val="24"/>
        </w:rPr>
      </w:pPr>
    </w:p>
    <w:p w14:paraId="216B5DDB" w14:textId="254879EE" w:rsidR="00FF48A1" w:rsidRDefault="00FF48A1" w:rsidP="0019317C">
      <w:pPr>
        <w:spacing w:after="0" w:line="240" w:lineRule="auto"/>
        <w:rPr>
          <w:rFonts w:ascii="Bliss 2 Light" w:hAnsi="Bliss 2 Light"/>
          <w:sz w:val="24"/>
          <w:szCs w:val="24"/>
        </w:rPr>
      </w:pPr>
      <w:r>
        <w:rPr>
          <w:rFonts w:ascii="Bliss 2 Light" w:hAnsi="Bliss 2 Light"/>
          <w:sz w:val="24"/>
          <w:szCs w:val="24"/>
        </w:rPr>
        <w:t>------------------------------------------------------------------------------------------------------------------------</w:t>
      </w:r>
    </w:p>
    <w:p w14:paraId="54F55F5A" w14:textId="77777777" w:rsidR="00233C52" w:rsidRDefault="00233C52" w:rsidP="0019317C">
      <w:pPr>
        <w:spacing w:after="0" w:line="240" w:lineRule="auto"/>
        <w:rPr>
          <w:rFonts w:ascii="Bliss 2 Light" w:hAnsi="Bliss 2 Light"/>
          <w:sz w:val="24"/>
          <w:szCs w:val="24"/>
        </w:rPr>
      </w:pPr>
    </w:p>
    <w:p w14:paraId="1B5D9621" w14:textId="77777777" w:rsidR="00233C52" w:rsidRDefault="00233C52" w:rsidP="0019317C">
      <w:pPr>
        <w:spacing w:after="0" w:line="240" w:lineRule="auto"/>
        <w:rPr>
          <w:rFonts w:ascii="Bliss 2 Light" w:hAnsi="Bliss 2 Light"/>
          <w:sz w:val="24"/>
          <w:szCs w:val="24"/>
        </w:rPr>
      </w:pPr>
    </w:p>
    <w:p w14:paraId="11CD6966" w14:textId="77777777" w:rsidR="00233C52" w:rsidRDefault="00233C52" w:rsidP="0019317C">
      <w:pPr>
        <w:spacing w:after="0" w:line="240" w:lineRule="auto"/>
        <w:rPr>
          <w:rFonts w:ascii="Bliss 2 Light" w:hAnsi="Bliss 2 Light"/>
          <w:sz w:val="24"/>
          <w:szCs w:val="24"/>
        </w:rPr>
      </w:pPr>
    </w:p>
    <w:p w14:paraId="15A81740" w14:textId="77777777" w:rsidR="00233C52" w:rsidRDefault="00233C52" w:rsidP="0019317C">
      <w:pPr>
        <w:spacing w:after="0" w:line="240" w:lineRule="auto"/>
        <w:rPr>
          <w:rFonts w:ascii="Bliss 2 Light" w:hAnsi="Bliss 2 Light"/>
          <w:sz w:val="24"/>
          <w:szCs w:val="24"/>
        </w:rPr>
      </w:pPr>
    </w:p>
    <w:p w14:paraId="06494A31" w14:textId="77777777" w:rsidR="00233C52" w:rsidRDefault="00233C52" w:rsidP="0019317C">
      <w:pPr>
        <w:spacing w:after="0" w:line="240" w:lineRule="auto"/>
        <w:rPr>
          <w:rFonts w:ascii="Bliss 2 Light" w:hAnsi="Bliss 2 Light"/>
          <w:sz w:val="24"/>
          <w:szCs w:val="24"/>
        </w:rPr>
      </w:pPr>
    </w:p>
    <w:p w14:paraId="2C3A0DF3" w14:textId="77777777" w:rsidR="00233C52" w:rsidRDefault="00233C52" w:rsidP="0019317C">
      <w:pPr>
        <w:spacing w:after="0" w:line="240" w:lineRule="auto"/>
        <w:rPr>
          <w:rFonts w:ascii="Bliss 2 Light" w:hAnsi="Bliss 2 Light"/>
          <w:sz w:val="24"/>
          <w:szCs w:val="24"/>
        </w:rPr>
      </w:pPr>
    </w:p>
    <w:p w14:paraId="11B296CD" w14:textId="77777777" w:rsidR="00233C52" w:rsidRDefault="00233C52" w:rsidP="0019317C">
      <w:pPr>
        <w:spacing w:after="0" w:line="240" w:lineRule="auto"/>
        <w:rPr>
          <w:rFonts w:ascii="Bliss 2 Light" w:hAnsi="Bliss 2 Light"/>
          <w:sz w:val="24"/>
          <w:szCs w:val="24"/>
        </w:rPr>
      </w:pPr>
    </w:p>
    <w:p w14:paraId="1555CF5D" w14:textId="77777777" w:rsidR="00233C52" w:rsidRDefault="00233C52" w:rsidP="0019317C">
      <w:pPr>
        <w:spacing w:after="0" w:line="240" w:lineRule="auto"/>
        <w:rPr>
          <w:rFonts w:ascii="Bliss 2 Light" w:hAnsi="Bliss 2 Light"/>
          <w:sz w:val="24"/>
          <w:szCs w:val="24"/>
        </w:rPr>
      </w:pPr>
    </w:p>
    <w:p w14:paraId="10AC59E5" w14:textId="0B4FF424" w:rsidR="00BA3D00" w:rsidRDefault="00BA3D00" w:rsidP="0019317C">
      <w:pPr>
        <w:spacing w:after="0" w:line="240" w:lineRule="auto"/>
        <w:rPr>
          <w:rFonts w:ascii="Bliss 2 Light" w:hAnsi="Bliss 2 Light"/>
          <w:sz w:val="24"/>
          <w:szCs w:val="24"/>
        </w:rPr>
      </w:pPr>
      <w:r>
        <w:rPr>
          <w:rFonts w:ascii="Bliss 2 Light" w:hAnsi="Bliss 2 Light"/>
          <w:b/>
          <w:bCs/>
          <w:sz w:val="24"/>
          <w:szCs w:val="24"/>
        </w:rPr>
        <w:lastRenderedPageBreak/>
        <w:t xml:space="preserve">6. </w:t>
      </w:r>
      <w:r w:rsidRPr="002A03B0">
        <w:rPr>
          <w:rFonts w:ascii="Bliss 2 Light" w:hAnsi="Bliss 2 Light"/>
          <w:b/>
          <w:bCs/>
          <w:sz w:val="28"/>
          <w:szCs w:val="28"/>
          <w:u w:val="single"/>
        </w:rPr>
        <w:t xml:space="preserve">Amendment relating to patient </w:t>
      </w:r>
      <w:r w:rsidRPr="002A03B0">
        <w:rPr>
          <w:rFonts w:ascii="Bliss 2 Light" w:hAnsi="Bliss 2 Light"/>
          <w:b/>
          <w:bCs/>
          <w:sz w:val="28"/>
          <w:szCs w:val="28"/>
        </w:rPr>
        <w:t>assignment</w:t>
      </w:r>
      <w:r w:rsidR="002A03B0">
        <w:rPr>
          <w:rFonts w:ascii="Bliss 2 Light" w:hAnsi="Bliss 2 Light"/>
          <w:b/>
          <w:bCs/>
          <w:sz w:val="24"/>
          <w:szCs w:val="24"/>
        </w:rPr>
        <w:t xml:space="preserve">  </w:t>
      </w:r>
      <w:r w:rsidRPr="002A03B0">
        <w:rPr>
          <w:rFonts w:ascii="Bliss 2 Light" w:hAnsi="Bliss 2 Light"/>
          <w:sz w:val="24"/>
          <w:szCs w:val="24"/>
        </w:rPr>
        <w:t>As</w:t>
      </w:r>
      <w:r>
        <w:rPr>
          <w:rFonts w:ascii="Bliss 2 Light" w:hAnsi="Bliss 2 Light"/>
          <w:sz w:val="24"/>
          <w:szCs w:val="24"/>
        </w:rPr>
        <w:t xml:space="preserve"> GP practices merge and the boundary areas of such practices become larger</w:t>
      </w:r>
      <w:r w:rsidR="0061124A">
        <w:rPr>
          <w:rFonts w:ascii="Bliss 2 Light" w:hAnsi="Bliss 2 Light"/>
          <w:sz w:val="24"/>
          <w:szCs w:val="24"/>
        </w:rPr>
        <w:t xml:space="preserve">, it may be, especially in more rural areas, that the options available to the CCG in terms of patient assignment become limited if, as is the case with a small number of patients, they have been recurrently removed </w:t>
      </w:r>
      <w:r w:rsidR="00865144">
        <w:rPr>
          <w:rFonts w:ascii="Bliss 2 Light" w:hAnsi="Bliss 2 Light"/>
          <w:sz w:val="24"/>
          <w:szCs w:val="24"/>
        </w:rPr>
        <w:t>from</w:t>
      </w:r>
      <w:r w:rsidR="0061124A">
        <w:rPr>
          <w:rFonts w:ascii="Bliss 2 Light" w:hAnsi="Bliss 2 Light"/>
          <w:sz w:val="24"/>
          <w:szCs w:val="24"/>
        </w:rPr>
        <w:t xml:space="preserve"> several GP practices.</w:t>
      </w:r>
    </w:p>
    <w:p w14:paraId="146084DA" w14:textId="55D54D80" w:rsidR="0061124A" w:rsidRDefault="0061124A" w:rsidP="0019317C">
      <w:pPr>
        <w:spacing w:after="0" w:line="240" w:lineRule="auto"/>
        <w:rPr>
          <w:rFonts w:ascii="Bliss 2 Light" w:hAnsi="Bliss 2 Light"/>
          <w:sz w:val="24"/>
          <w:szCs w:val="24"/>
        </w:rPr>
      </w:pPr>
    </w:p>
    <w:p w14:paraId="730B0B14" w14:textId="38931985" w:rsidR="0061124A" w:rsidRDefault="0061124A" w:rsidP="0019317C">
      <w:pPr>
        <w:spacing w:after="0" w:line="240" w:lineRule="auto"/>
        <w:rPr>
          <w:rFonts w:ascii="Bliss 2 Light" w:hAnsi="Bliss 2 Light"/>
          <w:sz w:val="24"/>
          <w:szCs w:val="24"/>
        </w:rPr>
      </w:pPr>
      <w:r>
        <w:rPr>
          <w:rFonts w:ascii="Bliss 2 Light" w:hAnsi="Bliss 2 Light"/>
          <w:sz w:val="24"/>
          <w:szCs w:val="24"/>
        </w:rPr>
        <w:t>The Regulations will now allow CCGs to assign patients to GP practices outside whose boundary the patient lives, providing the practice is within the assigning CCG area.</w:t>
      </w:r>
    </w:p>
    <w:p w14:paraId="7E46DC8D" w14:textId="7F881A3C" w:rsidR="0061124A" w:rsidRDefault="0061124A" w:rsidP="0019317C">
      <w:pPr>
        <w:spacing w:after="0" w:line="240" w:lineRule="auto"/>
        <w:rPr>
          <w:rFonts w:ascii="Bliss 2 Light" w:hAnsi="Bliss 2 Light"/>
          <w:sz w:val="24"/>
          <w:szCs w:val="24"/>
        </w:rPr>
      </w:pPr>
    </w:p>
    <w:p w14:paraId="23636A4F" w14:textId="22917990" w:rsidR="0061124A" w:rsidRDefault="0061124A" w:rsidP="0019317C">
      <w:pPr>
        <w:spacing w:after="0" w:line="240" w:lineRule="auto"/>
        <w:rPr>
          <w:rFonts w:ascii="Bliss 2 Light" w:hAnsi="Bliss 2 Light"/>
          <w:sz w:val="24"/>
          <w:szCs w:val="24"/>
        </w:rPr>
      </w:pPr>
      <w:r>
        <w:rPr>
          <w:rFonts w:ascii="Bliss 2 Light" w:hAnsi="Bliss 2 Light"/>
          <w:sz w:val="24"/>
          <w:szCs w:val="24"/>
        </w:rPr>
        <w:t xml:space="preserve">However, in recognition of the difficulties this may cause practices, </w:t>
      </w:r>
      <w:r w:rsidRPr="00FF48A1">
        <w:rPr>
          <w:rFonts w:ascii="Bliss 2 Light" w:hAnsi="Bliss 2 Light"/>
          <w:b/>
          <w:bCs/>
          <w:sz w:val="24"/>
          <w:szCs w:val="24"/>
        </w:rPr>
        <w:t>a practice can opt to accept such an assigned patient as an ‘Out-of-Area’ patient, which means that there is no obligation to undertake a Home Visit.</w:t>
      </w:r>
      <w:r>
        <w:rPr>
          <w:rFonts w:ascii="Bliss 2 Light" w:hAnsi="Bliss 2 Light"/>
          <w:sz w:val="24"/>
          <w:szCs w:val="24"/>
        </w:rPr>
        <w:t xml:space="preserve">  The LMC advises practices </w:t>
      </w:r>
      <w:r w:rsidR="00FF48A1">
        <w:rPr>
          <w:rFonts w:ascii="Bliss 2 Light" w:hAnsi="Bliss 2 Light"/>
          <w:sz w:val="24"/>
          <w:szCs w:val="24"/>
        </w:rPr>
        <w:t xml:space="preserve">to </w:t>
      </w:r>
      <w:r>
        <w:rPr>
          <w:rFonts w:ascii="Bliss 2 Light" w:hAnsi="Bliss 2 Light"/>
          <w:sz w:val="24"/>
          <w:szCs w:val="24"/>
        </w:rPr>
        <w:t>inform such patients of this, and also ask the assigning CCG to advise such patients of the in-hours Home Visiting arrangement that are in place, since the CCG is in this case responsible for the assignment of the patient to that practice.</w:t>
      </w:r>
    </w:p>
    <w:p w14:paraId="3B26A816" w14:textId="550B2F8E" w:rsidR="0061124A" w:rsidRDefault="0061124A" w:rsidP="0019317C">
      <w:pPr>
        <w:spacing w:after="0" w:line="240" w:lineRule="auto"/>
        <w:rPr>
          <w:rFonts w:ascii="Bliss 2 Light" w:hAnsi="Bliss 2 Light"/>
          <w:sz w:val="24"/>
          <w:szCs w:val="24"/>
        </w:rPr>
      </w:pPr>
    </w:p>
    <w:p w14:paraId="292C3314" w14:textId="1F455AB5" w:rsidR="0061124A" w:rsidRDefault="0061124A" w:rsidP="0019317C">
      <w:pPr>
        <w:spacing w:after="0" w:line="240" w:lineRule="auto"/>
        <w:rPr>
          <w:rFonts w:ascii="Bliss 2 Light" w:hAnsi="Bliss 2 Light"/>
          <w:sz w:val="24"/>
          <w:szCs w:val="24"/>
        </w:rPr>
      </w:pPr>
      <w:r>
        <w:rPr>
          <w:rFonts w:ascii="Bliss 2 Light" w:hAnsi="Bliss 2 Light"/>
          <w:sz w:val="24"/>
          <w:szCs w:val="24"/>
        </w:rPr>
        <w:t>In addition, a CCG can now assign patients to another GP practice where the CCG has notice that the patients current GP practice is closing; it is expected that the CCG will assign the patient to a practice of their choice, but, if this cannot be ascertained, an assignment may be made</w:t>
      </w:r>
      <w:r w:rsidR="009E7C86">
        <w:rPr>
          <w:rFonts w:ascii="Bliss 2 Light" w:hAnsi="Bliss 2 Light"/>
          <w:sz w:val="24"/>
          <w:szCs w:val="24"/>
        </w:rPr>
        <w:t xml:space="preserve"> anyway, using other criteria, such as distance from a patients usual residence to the practice.</w:t>
      </w:r>
      <w:r>
        <w:rPr>
          <w:rFonts w:ascii="Bliss 2 Light" w:hAnsi="Bliss 2 Light"/>
          <w:sz w:val="24"/>
          <w:szCs w:val="24"/>
        </w:rPr>
        <w:t xml:space="preserve">  This should prevent the difficult situation in which a residual number of patients at a closing practice do not reregister elsewhere, despite requests to do so, and become unregistered by default once their GP practice has closed.</w:t>
      </w:r>
    </w:p>
    <w:p w14:paraId="42B5A3CD" w14:textId="4D59C557" w:rsidR="00FF48A1" w:rsidRDefault="00FF48A1" w:rsidP="0019317C">
      <w:pPr>
        <w:spacing w:after="0" w:line="240" w:lineRule="auto"/>
        <w:rPr>
          <w:rFonts w:ascii="Bliss 2 Light" w:hAnsi="Bliss 2 Light"/>
          <w:sz w:val="24"/>
          <w:szCs w:val="24"/>
        </w:rPr>
      </w:pPr>
    </w:p>
    <w:p w14:paraId="07F47A98" w14:textId="77777777" w:rsidR="00FF48A1" w:rsidRDefault="00FF48A1" w:rsidP="0019317C">
      <w:pPr>
        <w:spacing w:after="0" w:line="240" w:lineRule="auto"/>
        <w:rPr>
          <w:rFonts w:ascii="Bliss 2 Light" w:hAnsi="Bliss 2 Light"/>
          <w:sz w:val="24"/>
          <w:szCs w:val="24"/>
        </w:rPr>
      </w:pPr>
    </w:p>
    <w:p w14:paraId="5585110C" w14:textId="77EECD42" w:rsidR="0061124A" w:rsidRDefault="00FF48A1" w:rsidP="0019317C">
      <w:pPr>
        <w:spacing w:after="0" w:line="240" w:lineRule="auto"/>
        <w:rPr>
          <w:rFonts w:ascii="Bliss 2 Light" w:hAnsi="Bliss 2 Light"/>
          <w:sz w:val="24"/>
          <w:szCs w:val="24"/>
        </w:rPr>
      </w:pPr>
      <w:r>
        <w:rPr>
          <w:rFonts w:ascii="Bliss 2 Light" w:hAnsi="Bliss 2 Light"/>
          <w:sz w:val="24"/>
          <w:szCs w:val="24"/>
        </w:rPr>
        <w:t>--------------------------------------------------------------------------------------------------------------------------</w:t>
      </w:r>
    </w:p>
    <w:p w14:paraId="26267DE4" w14:textId="77777777" w:rsidR="00CF4530" w:rsidRDefault="00CF4530" w:rsidP="0019317C">
      <w:pPr>
        <w:spacing w:after="0" w:line="240" w:lineRule="auto"/>
        <w:rPr>
          <w:rFonts w:ascii="Bliss 2 Light" w:hAnsi="Bliss 2 Light"/>
          <w:b/>
          <w:bCs/>
          <w:sz w:val="24"/>
          <w:szCs w:val="24"/>
        </w:rPr>
      </w:pPr>
    </w:p>
    <w:p w14:paraId="30A45F96" w14:textId="5C66979A" w:rsidR="0061124A" w:rsidRDefault="0061124A" w:rsidP="0019317C">
      <w:pPr>
        <w:spacing w:after="0" w:line="240" w:lineRule="auto"/>
        <w:rPr>
          <w:rFonts w:ascii="Bliss 2 Light" w:hAnsi="Bliss 2 Light"/>
          <w:sz w:val="24"/>
          <w:szCs w:val="24"/>
        </w:rPr>
      </w:pPr>
      <w:r>
        <w:rPr>
          <w:rFonts w:ascii="Bliss 2 Light" w:hAnsi="Bliss 2 Light"/>
          <w:b/>
          <w:bCs/>
          <w:sz w:val="24"/>
          <w:szCs w:val="24"/>
        </w:rPr>
        <w:t xml:space="preserve">7. </w:t>
      </w:r>
      <w:r w:rsidRPr="002A03B0">
        <w:rPr>
          <w:rFonts w:ascii="Bliss 2 Light" w:hAnsi="Bliss 2 Light"/>
          <w:b/>
          <w:bCs/>
          <w:sz w:val="28"/>
          <w:szCs w:val="28"/>
          <w:u w:val="single"/>
        </w:rPr>
        <w:t>Sub</w:t>
      </w:r>
      <w:r w:rsidR="00E82F94" w:rsidRPr="002A03B0">
        <w:rPr>
          <w:rFonts w:ascii="Bliss 2 Light" w:hAnsi="Bliss 2 Light"/>
          <w:b/>
          <w:bCs/>
          <w:sz w:val="28"/>
          <w:szCs w:val="28"/>
          <w:u w:val="single"/>
        </w:rPr>
        <w:t>-</w:t>
      </w:r>
      <w:r w:rsidRPr="002A03B0">
        <w:rPr>
          <w:rFonts w:ascii="Bliss 2 Light" w:hAnsi="Bliss 2 Light"/>
          <w:b/>
          <w:bCs/>
          <w:sz w:val="28"/>
          <w:szCs w:val="28"/>
          <w:u w:val="single"/>
        </w:rPr>
        <w:t>Contracting of clinical services</w:t>
      </w:r>
      <w:r>
        <w:rPr>
          <w:rFonts w:ascii="Bliss 2 Light" w:hAnsi="Bliss 2 Light"/>
          <w:sz w:val="24"/>
          <w:szCs w:val="24"/>
        </w:rPr>
        <w:t xml:space="preserve">  There are significant restrictions o</w:t>
      </w:r>
      <w:r w:rsidR="009E7C86">
        <w:rPr>
          <w:rFonts w:ascii="Bliss 2 Light" w:hAnsi="Bliss 2 Light"/>
          <w:sz w:val="24"/>
          <w:szCs w:val="24"/>
        </w:rPr>
        <w:t>n</w:t>
      </w:r>
      <w:r>
        <w:rPr>
          <w:rFonts w:ascii="Bliss 2 Light" w:hAnsi="Bliss 2 Light"/>
          <w:sz w:val="24"/>
          <w:szCs w:val="24"/>
        </w:rPr>
        <w:t xml:space="preserve"> GP practices subcontracting clinical services but, with the approval of </w:t>
      </w:r>
      <w:r w:rsidR="009E7C86">
        <w:rPr>
          <w:rFonts w:ascii="Bliss 2 Light" w:hAnsi="Bliss 2 Light"/>
          <w:sz w:val="24"/>
          <w:szCs w:val="24"/>
        </w:rPr>
        <w:t xml:space="preserve">the </w:t>
      </w:r>
      <w:r>
        <w:rPr>
          <w:rFonts w:ascii="Bliss 2 Light" w:hAnsi="Bliss 2 Light"/>
          <w:sz w:val="24"/>
          <w:szCs w:val="24"/>
        </w:rPr>
        <w:t>CCG/NHSE, PCNs are now able to h</w:t>
      </w:r>
      <w:r w:rsidR="00865144">
        <w:rPr>
          <w:rFonts w:ascii="Bliss 2 Light" w:hAnsi="Bliss 2 Light"/>
          <w:sz w:val="24"/>
          <w:szCs w:val="24"/>
        </w:rPr>
        <w:t>a</w:t>
      </w:r>
      <w:r>
        <w:rPr>
          <w:rFonts w:ascii="Bliss 2 Light" w:hAnsi="Bliss 2 Light"/>
          <w:sz w:val="24"/>
          <w:szCs w:val="24"/>
        </w:rPr>
        <w:t>ve more flexibility to do so in relation to services delivered under the PCN DES.</w:t>
      </w:r>
    </w:p>
    <w:p w14:paraId="4307181F" w14:textId="023544E4" w:rsidR="00CF4530" w:rsidRDefault="00CF4530" w:rsidP="0019317C">
      <w:pPr>
        <w:spacing w:after="0" w:line="240" w:lineRule="auto"/>
        <w:rPr>
          <w:rFonts w:ascii="Bliss 2 Light" w:hAnsi="Bliss 2 Light"/>
          <w:sz w:val="24"/>
          <w:szCs w:val="24"/>
        </w:rPr>
      </w:pPr>
    </w:p>
    <w:p w14:paraId="50A09A52" w14:textId="142E31E2" w:rsidR="00CF4530" w:rsidRDefault="00CF4530" w:rsidP="0019317C">
      <w:pPr>
        <w:spacing w:after="0" w:line="240" w:lineRule="auto"/>
        <w:rPr>
          <w:rFonts w:ascii="Bliss 2 Light" w:hAnsi="Bliss 2 Light"/>
          <w:sz w:val="24"/>
          <w:szCs w:val="24"/>
        </w:rPr>
      </w:pPr>
      <w:r>
        <w:rPr>
          <w:rFonts w:ascii="Bliss 2 Light" w:hAnsi="Bliss 2 Light"/>
          <w:sz w:val="24"/>
          <w:szCs w:val="24"/>
        </w:rPr>
        <w:t>-------------------------------------------------------------------------------------------------------------------------</w:t>
      </w:r>
    </w:p>
    <w:p w14:paraId="5859A7F6" w14:textId="028D794A" w:rsidR="00865144" w:rsidRDefault="00865144" w:rsidP="0019317C">
      <w:pPr>
        <w:spacing w:after="0" w:line="240" w:lineRule="auto"/>
        <w:rPr>
          <w:rFonts w:ascii="Bliss 2 Light" w:hAnsi="Bliss 2 Light"/>
          <w:sz w:val="24"/>
          <w:szCs w:val="24"/>
        </w:rPr>
      </w:pPr>
    </w:p>
    <w:p w14:paraId="0872B519" w14:textId="52680DD4" w:rsidR="00865144" w:rsidRDefault="00865144" w:rsidP="0019317C">
      <w:pPr>
        <w:spacing w:after="0" w:line="240" w:lineRule="auto"/>
        <w:rPr>
          <w:rFonts w:ascii="Bliss 2 Light" w:hAnsi="Bliss 2 Light"/>
          <w:sz w:val="24"/>
          <w:szCs w:val="24"/>
        </w:rPr>
      </w:pPr>
      <w:r>
        <w:rPr>
          <w:rFonts w:ascii="Bliss 2 Light" w:hAnsi="Bliss 2 Light"/>
          <w:b/>
          <w:bCs/>
          <w:sz w:val="24"/>
          <w:szCs w:val="24"/>
        </w:rPr>
        <w:t xml:space="preserve">8. </w:t>
      </w:r>
      <w:r w:rsidRPr="002A03B0">
        <w:rPr>
          <w:rFonts w:ascii="Bliss 2 Light" w:hAnsi="Bliss 2 Light"/>
          <w:b/>
          <w:bCs/>
          <w:sz w:val="28"/>
          <w:szCs w:val="28"/>
          <w:u w:val="single"/>
        </w:rPr>
        <w:t>Amendment in relation to the cancellation by CQC of a practices registration</w:t>
      </w:r>
      <w:r>
        <w:rPr>
          <w:rFonts w:ascii="Bliss 2 Light" w:hAnsi="Bliss 2 Light"/>
          <w:sz w:val="24"/>
          <w:szCs w:val="24"/>
        </w:rPr>
        <w:t xml:space="preserve">  At present if a practices CQC registration is cancelled (and no appeal is made or is successful) there is no automatic ability for the CCG to terminate the GMS/PMS Contract; this causes significant administrative difficulties including ensuring the on-going provision of patient care, and therefore such CQC cancelled registration will now be grounds for the termination of the GMS/PMS Contract.</w:t>
      </w:r>
    </w:p>
    <w:p w14:paraId="7CE76D5B" w14:textId="555B391D" w:rsidR="00EC535F" w:rsidRDefault="00EC535F" w:rsidP="0019317C">
      <w:pPr>
        <w:spacing w:after="0" w:line="240" w:lineRule="auto"/>
        <w:rPr>
          <w:rFonts w:ascii="Bliss 2 Light" w:hAnsi="Bliss 2 Light"/>
          <w:sz w:val="24"/>
          <w:szCs w:val="24"/>
        </w:rPr>
      </w:pPr>
    </w:p>
    <w:p w14:paraId="27AAED85" w14:textId="47EF1B1D" w:rsidR="00EC535F" w:rsidRDefault="00CF4530" w:rsidP="0019317C">
      <w:pPr>
        <w:spacing w:after="0" w:line="240" w:lineRule="auto"/>
        <w:rPr>
          <w:rFonts w:ascii="Bliss 2 Light" w:hAnsi="Bliss 2 Light"/>
          <w:sz w:val="24"/>
          <w:szCs w:val="24"/>
        </w:rPr>
      </w:pPr>
      <w:r>
        <w:rPr>
          <w:rFonts w:ascii="Bliss 2 Light" w:hAnsi="Bliss 2 Light"/>
          <w:sz w:val="24"/>
          <w:szCs w:val="24"/>
        </w:rPr>
        <w:t>--------------------------------------------------------------------------------------------------------------------------</w:t>
      </w:r>
    </w:p>
    <w:p w14:paraId="7B040248" w14:textId="4F20413F" w:rsidR="00EC535F" w:rsidRDefault="00EC535F" w:rsidP="0019317C">
      <w:pPr>
        <w:spacing w:after="0" w:line="240" w:lineRule="auto"/>
        <w:rPr>
          <w:rFonts w:ascii="Bliss 2 Light" w:hAnsi="Bliss 2 Light"/>
          <w:sz w:val="24"/>
          <w:szCs w:val="24"/>
        </w:rPr>
      </w:pPr>
    </w:p>
    <w:p w14:paraId="2373E149" w14:textId="2F2520CC" w:rsidR="000532A3" w:rsidRDefault="000532A3" w:rsidP="0019317C">
      <w:pPr>
        <w:spacing w:after="0" w:line="240" w:lineRule="auto"/>
        <w:rPr>
          <w:rFonts w:ascii="Bliss 2 Light" w:hAnsi="Bliss 2 Light"/>
          <w:sz w:val="24"/>
          <w:szCs w:val="24"/>
        </w:rPr>
      </w:pPr>
    </w:p>
    <w:p w14:paraId="3E67F9D1" w14:textId="35E79A3F" w:rsidR="000532A3" w:rsidRDefault="000532A3" w:rsidP="0019317C">
      <w:pPr>
        <w:spacing w:after="0" w:line="240" w:lineRule="auto"/>
        <w:rPr>
          <w:rFonts w:ascii="Bliss 2 Light" w:hAnsi="Bliss 2 Light"/>
          <w:sz w:val="24"/>
          <w:szCs w:val="24"/>
        </w:rPr>
      </w:pPr>
    </w:p>
    <w:p w14:paraId="11153C21" w14:textId="77777777" w:rsidR="000532A3" w:rsidRDefault="000532A3" w:rsidP="0019317C">
      <w:pPr>
        <w:spacing w:after="0" w:line="240" w:lineRule="auto"/>
        <w:rPr>
          <w:rFonts w:ascii="Bliss 2 Light" w:hAnsi="Bliss 2 Light"/>
          <w:sz w:val="24"/>
          <w:szCs w:val="24"/>
        </w:rPr>
      </w:pPr>
    </w:p>
    <w:p w14:paraId="4E66056C" w14:textId="3F36ED0B" w:rsidR="00EC535F" w:rsidRPr="00EC7C6A" w:rsidRDefault="00527A86" w:rsidP="00AA6FB8">
      <w:pPr>
        <w:pStyle w:val="Default"/>
        <w:rPr>
          <w:b/>
          <w:bCs/>
          <w:i/>
          <w:iCs/>
          <w:sz w:val="32"/>
          <w:szCs w:val="32"/>
          <w:u w:val="single"/>
        </w:rPr>
      </w:pPr>
      <w:r w:rsidRPr="00EC7C6A">
        <w:rPr>
          <w:b/>
          <w:bCs/>
          <w:i/>
          <w:iCs/>
          <w:sz w:val="32"/>
          <w:szCs w:val="32"/>
          <w:u w:val="single"/>
        </w:rPr>
        <w:lastRenderedPageBreak/>
        <w:t>General</w:t>
      </w:r>
    </w:p>
    <w:p w14:paraId="39308A86" w14:textId="163F141E" w:rsidR="00EC7C6A" w:rsidRDefault="00EC7C6A" w:rsidP="00AA6FB8">
      <w:pPr>
        <w:pStyle w:val="Default"/>
        <w:rPr>
          <w:b/>
          <w:bCs/>
          <w:i/>
          <w:iCs/>
          <w:sz w:val="28"/>
          <w:szCs w:val="28"/>
          <w:u w:val="single"/>
        </w:rPr>
      </w:pPr>
    </w:p>
    <w:p w14:paraId="3A64D3A7" w14:textId="4CC6DDD1" w:rsidR="00EC7C6A" w:rsidRPr="00EC7C6A" w:rsidRDefault="00EC7C6A" w:rsidP="00EC7C6A">
      <w:pPr>
        <w:pStyle w:val="Default"/>
        <w:rPr>
          <w:b/>
          <w:bCs/>
          <w:i/>
          <w:iCs/>
          <w:sz w:val="28"/>
          <w:szCs w:val="28"/>
          <w:u w:val="single"/>
        </w:rPr>
      </w:pPr>
      <w:r w:rsidRPr="00EC7C6A">
        <w:rPr>
          <w:b/>
          <w:bCs/>
          <w:i/>
          <w:iCs/>
          <w:sz w:val="28"/>
          <w:szCs w:val="28"/>
          <w:u w:val="single"/>
        </w:rPr>
        <w:t>6-8 Week Post Natal checks</w:t>
      </w:r>
    </w:p>
    <w:p w14:paraId="4ABD72CC" w14:textId="77777777" w:rsidR="00EC7C6A" w:rsidRDefault="00EC7C6A" w:rsidP="00EC7C6A">
      <w:pPr>
        <w:pStyle w:val="Default"/>
      </w:pPr>
    </w:p>
    <w:p w14:paraId="32BEAFFE" w14:textId="60E9E2AF" w:rsidR="00EC7C6A" w:rsidRPr="007B3E8B" w:rsidRDefault="00EC7C6A" w:rsidP="00EC7C6A">
      <w:pPr>
        <w:pStyle w:val="Default"/>
      </w:pPr>
      <w:r w:rsidRPr="007B3E8B">
        <w:t>The required reintroduction on 1 April 2020 for all practices to offer a 6-8 week postnatal check for new mothers.  To clarify, these checks need to be led by a GP, who could be supported by additional multidisciplinary professionals within the primary care team with the necessary competencies.</w:t>
      </w:r>
    </w:p>
    <w:p w14:paraId="03D9D4ED" w14:textId="56CA2CBD" w:rsidR="00527A86" w:rsidRDefault="00527A86" w:rsidP="0019317C">
      <w:pPr>
        <w:spacing w:after="0" w:line="240" w:lineRule="auto"/>
        <w:rPr>
          <w:rFonts w:ascii="Bliss 2 Light" w:hAnsi="Bliss 2 Light"/>
          <w:sz w:val="24"/>
          <w:szCs w:val="24"/>
        </w:rPr>
      </w:pPr>
    </w:p>
    <w:p w14:paraId="252321AF" w14:textId="274C92C6" w:rsidR="00527A86" w:rsidRPr="00AA6FB8" w:rsidRDefault="00527A86" w:rsidP="00AA6FB8">
      <w:pPr>
        <w:pStyle w:val="Default"/>
        <w:rPr>
          <w:b/>
          <w:bCs/>
          <w:i/>
          <w:iCs/>
          <w:sz w:val="28"/>
          <w:szCs w:val="28"/>
          <w:u w:val="single"/>
        </w:rPr>
      </w:pPr>
      <w:r w:rsidRPr="00AA6FB8">
        <w:rPr>
          <w:b/>
          <w:bCs/>
          <w:i/>
          <w:iCs/>
          <w:sz w:val="28"/>
          <w:szCs w:val="28"/>
          <w:u w:val="single"/>
        </w:rPr>
        <w:t>Friends &amp; Family Test</w:t>
      </w:r>
    </w:p>
    <w:p w14:paraId="3FA78701" w14:textId="18F2F95F" w:rsidR="00527A86" w:rsidRDefault="00527A86" w:rsidP="0019317C">
      <w:pPr>
        <w:spacing w:after="0" w:line="240" w:lineRule="auto"/>
        <w:rPr>
          <w:rFonts w:ascii="Bliss 2 Light" w:hAnsi="Bliss 2 Light"/>
          <w:sz w:val="24"/>
          <w:szCs w:val="24"/>
        </w:rPr>
      </w:pPr>
    </w:p>
    <w:p w14:paraId="3C557A58" w14:textId="586C4BE6" w:rsidR="00527A86" w:rsidRPr="008358DF" w:rsidRDefault="00527A86" w:rsidP="008358DF">
      <w:pPr>
        <w:pStyle w:val="Default"/>
        <w:rPr>
          <w:sz w:val="23"/>
          <w:szCs w:val="23"/>
        </w:rPr>
      </w:pPr>
      <w:r w:rsidRPr="008358DF">
        <w:rPr>
          <w:sz w:val="23"/>
          <w:szCs w:val="23"/>
        </w:rPr>
        <w:t>Suspended until at least 31st March 2021</w:t>
      </w:r>
    </w:p>
    <w:p w14:paraId="4DA8ADC4" w14:textId="3F22CBF0" w:rsidR="00527A86" w:rsidRDefault="00E82F94" w:rsidP="0019317C">
      <w:pPr>
        <w:spacing w:after="0" w:line="240" w:lineRule="auto"/>
        <w:rPr>
          <w:rFonts w:ascii="Bliss 2 Light" w:hAnsi="Bliss 2 Light"/>
          <w:sz w:val="24"/>
          <w:szCs w:val="24"/>
        </w:rPr>
      </w:pPr>
      <w:r>
        <w:rPr>
          <w:rFonts w:ascii="Bliss 2 Light" w:hAnsi="Bliss 2 Light"/>
          <w:sz w:val="24"/>
          <w:szCs w:val="24"/>
        </w:rPr>
        <w:t>--------------------------------------------------------------------------------------------------------------------------</w:t>
      </w:r>
    </w:p>
    <w:p w14:paraId="51F5A250" w14:textId="2D6EADAC" w:rsidR="00527A86" w:rsidRPr="00AA6FB8" w:rsidRDefault="00527A86" w:rsidP="00AA6FB8">
      <w:pPr>
        <w:pStyle w:val="Default"/>
        <w:rPr>
          <w:b/>
          <w:bCs/>
          <w:i/>
          <w:iCs/>
          <w:sz w:val="28"/>
          <w:szCs w:val="28"/>
          <w:u w:val="single"/>
        </w:rPr>
      </w:pPr>
      <w:r w:rsidRPr="00AA6FB8">
        <w:rPr>
          <w:b/>
          <w:bCs/>
          <w:i/>
          <w:iCs/>
          <w:sz w:val="28"/>
          <w:szCs w:val="28"/>
          <w:u w:val="single"/>
        </w:rPr>
        <w:t>NHS 111</w:t>
      </w:r>
    </w:p>
    <w:p w14:paraId="0A096552" w14:textId="2580B95B" w:rsidR="00527A86" w:rsidRDefault="00527A86" w:rsidP="0019317C">
      <w:pPr>
        <w:spacing w:after="0" w:line="240" w:lineRule="auto"/>
        <w:rPr>
          <w:rFonts w:ascii="Bliss 2 Light" w:hAnsi="Bliss 2 Light"/>
          <w:sz w:val="24"/>
          <w:szCs w:val="24"/>
        </w:rPr>
      </w:pPr>
    </w:p>
    <w:p w14:paraId="2484E2CD" w14:textId="77777777" w:rsidR="008358DF" w:rsidRDefault="008358DF" w:rsidP="008358DF">
      <w:pPr>
        <w:pStyle w:val="Default"/>
        <w:rPr>
          <w:b/>
          <w:bCs/>
          <w:color w:val="FF0000"/>
          <w:sz w:val="23"/>
          <w:szCs w:val="23"/>
          <w:u w:val="single"/>
        </w:rPr>
      </w:pPr>
      <w:r>
        <w:rPr>
          <w:b/>
          <w:bCs/>
          <w:sz w:val="23"/>
          <w:szCs w:val="23"/>
        </w:rPr>
        <w:t>A continuation of the temporary increase in the number of appointment slots that practices must make available for direct booking by 111 to 1 slot per 500 patients per day</w:t>
      </w:r>
      <w:r>
        <w:rPr>
          <w:sz w:val="23"/>
          <w:szCs w:val="23"/>
        </w:rPr>
        <w:t xml:space="preserve">. This is because they remain necessary to support phase 3 of the NHS response, in particular the important role NHS 111 is playing in reducing the face-to-face transmission risk for patients and NHS staff. Under this model, the slots, which will be booked following clinical triage, are not appointments in a traditional sense; instead </w:t>
      </w:r>
      <w:r>
        <w:rPr>
          <w:b/>
          <w:bCs/>
          <w:i/>
          <w:iCs/>
          <w:sz w:val="23"/>
          <w:szCs w:val="23"/>
        </w:rPr>
        <w:t>practices should clinically assess the patients remotely and arrange their ongoing management</w:t>
      </w:r>
      <w:r>
        <w:rPr>
          <w:sz w:val="23"/>
          <w:szCs w:val="23"/>
        </w:rPr>
        <w:t xml:space="preserve">. This ensures that only those who need further care (in-person or via telephone / video consultation) are presenting to services, and they are managed as appropriate for their clinical condition. </w:t>
      </w:r>
      <w:r>
        <w:rPr>
          <w:b/>
          <w:bCs/>
          <w:sz w:val="23"/>
          <w:szCs w:val="23"/>
        </w:rPr>
        <w:t xml:space="preserve">GP practices are asked to make sufficient slots available for NHS 111 to refer into; they should assess the use of the slots each day and </w:t>
      </w:r>
      <w:r>
        <w:rPr>
          <w:b/>
          <w:bCs/>
          <w:sz w:val="23"/>
          <w:szCs w:val="23"/>
          <w:u w:val="single"/>
        </w:rPr>
        <w:t>adjust the number to meet demand</w:t>
      </w:r>
      <w:r>
        <w:rPr>
          <w:b/>
          <w:bCs/>
          <w:sz w:val="23"/>
          <w:szCs w:val="23"/>
        </w:rPr>
        <w:t xml:space="preserve">. </w:t>
      </w:r>
      <w:r>
        <w:rPr>
          <w:b/>
          <w:bCs/>
          <w:color w:val="FF0000"/>
          <w:sz w:val="23"/>
          <w:szCs w:val="23"/>
          <w:u w:val="single"/>
        </w:rPr>
        <w:t xml:space="preserve">This could be fewer than 1 in 500. </w:t>
      </w:r>
    </w:p>
    <w:p w14:paraId="5653A53C" w14:textId="539BF1DE" w:rsidR="00527A86" w:rsidRDefault="00E82F94" w:rsidP="0019317C">
      <w:pPr>
        <w:spacing w:after="0" w:line="240" w:lineRule="auto"/>
        <w:rPr>
          <w:rFonts w:ascii="Bliss 2 Light" w:hAnsi="Bliss 2 Light"/>
          <w:sz w:val="24"/>
          <w:szCs w:val="24"/>
        </w:rPr>
      </w:pPr>
      <w:r>
        <w:rPr>
          <w:rFonts w:ascii="Bliss 2 Light" w:hAnsi="Bliss 2 Light"/>
          <w:sz w:val="24"/>
          <w:szCs w:val="24"/>
        </w:rPr>
        <w:t>--------------------------------------------------------------------------------------------------------------------------</w:t>
      </w:r>
    </w:p>
    <w:p w14:paraId="20C4299A" w14:textId="1345A897" w:rsidR="00BF35C4" w:rsidRPr="00AA6FB8" w:rsidRDefault="00BF35C4" w:rsidP="00BF35C4">
      <w:pPr>
        <w:pStyle w:val="Default"/>
        <w:rPr>
          <w:b/>
          <w:bCs/>
          <w:i/>
          <w:iCs/>
          <w:sz w:val="28"/>
          <w:szCs w:val="28"/>
          <w:u w:val="single"/>
        </w:rPr>
      </w:pPr>
      <w:r w:rsidRPr="00AA6FB8">
        <w:rPr>
          <w:b/>
          <w:bCs/>
          <w:i/>
          <w:iCs/>
          <w:sz w:val="28"/>
          <w:szCs w:val="28"/>
          <w:u w:val="single"/>
        </w:rPr>
        <w:t>Requirement for individual patient consent in certain circumstances</w:t>
      </w:r>
    </w:p>
    <w:p w14:paraId="6F19C16A" w14:textId="77777777" w:rsidR="00BF35C4" w:rsidRDefault="00BF35C4" w:rsidP="00BF35C4">
      <w:pPr>
        <w:pStyle w:val="Default"/>
        <w:rPr>
          <w:sz w:val="23"/>
          <w:szCs w:val="23"/>
        </w:rPr>
      </w:pPr>
    </w:p>
    <w:p w14:paraId="5E74FFCE" w14:textId="207CCEE4" w:rsidR="00EC535F" w:rsidRPr="00BF35C4" w:rsidRDefault="008358DF" w:rsidP="00BF35C4">
      <w:pPr>
        <w:pStyle w:val="Default"/>
        <w:rPr>
          <w:sz w:val="23"/>
          <w:szCs w:val="23"/>
        </w:rPr>
      </w:pPr>
      <w:r w:rsidRPr="00BF35C4">
        <w:rPr>
          <w:sz w:val="23"/>
          <w:szCs w:val="23"/>
        </w:rPr>
        <w:t>A temporary suspension of the requirement for individual patient consent in certain circumstances, in order to encourage increased use of electronic repeat dispensing (</w:t>
      </w:r>
      <w:proofErr w:type="spellStart"/>
      <w:r w:rsidRPr="00BF35C4">
        <w:rPr>
          <w:sz w:val="23"/>
          <w:szCs w:val="23"/>
        </w:rPr>
        <w:t>eRD</w:t>
      </w:r>
      <w:proofErr w:type="spellEnd"/>
      <w:r w:rsidRPr="00BF35C4">
        <w:rPr>
          <w:sz w:val="23"/>
          <w:szCs w:val="23"/>
        </w:rPr>
        <w:t xml:space="preserve">)2. Use of </w:t>
      </w:r>
      <w:proofErr w:type="spellStart"/>
      <w:r w:rsidRPr="00BF35C4">
        <w:rPr>
          <w:sz w:val="23"/>
          <w:szCs w:val="23"/>
        </w:rPr>
        <w:t>eRD</w:t>
      </w:r>
      <w:proofErr w:type="spellEnd"/>
      <w:r w:rsidRPr="00BF35C4">
        <w:rPr>
          <w:sz w:val="23"/>
          <w:szCs w:val="23"/>
        </w:rPr>
        <w:t xml:space="preserve"> has many benefits for patients, practices and wider systems and this temporary provision aims to make it easier for practices to transfer patients to e-RD in defined circumstances, where this is clinically appropriate.</w:t>
      </w:r>
    </w:p>
    <w:p w14:paraId="465780E7" w14:textId="2A8AE632" w:rsidR="00EC535F" w:rsidRDefault="00EC535F" w:rsidP="0019317C">
      <w:pPr>
        <w:spacing w:after="0" w:line="240" w:lineRule="auto"/>
        <w:rPr>
          <w:rFonts w:ascii="Bliss 2 Light" w:hAnsi="Bliss 2 Light"/>
          <w:sz w:val="24"/>
          <w:szCs w:val="24"/>
        </w:rPr>
      </w:pPr>
    </w:p>
    <w:p w14:paraId="1CCC72CB" w14:textId="51008A33" w:rsidR="00BF35C4" w:rsidRDefault="00E82F94" w:rsidP="0019317C">
      <w:pPr>
        <w:spacing w:after="0" w:line="240" w:lineRule="auto"/>
        <w:rPr>
          <w:rFonts w:ascii="Bliss 2 Light" w:hAnsi="Bliss 2 Light"/>
          <w:sz w:val="24"/>
          <w:szCs w:val="24"/>
        </w:rPr>
      </w:pPr>
      <w:r>
        <w:rPr>
          <w:rFonts w:ascii="Bliss 2 Light" w:hAnsi="Bliss 2 Light"/>
          <w:sz w:val="24"/>
          <w:szCs w:val="24"/>
        </w:rPr>
        <w:t>--------------------------------------------------------------------------------------------------------------------------</w:t>
      </w:r>
    </w:p>
    <w:p w14:paraId="1948A56C" w14:textId="0F69C66F" w:rsidR="00BA3D00" w:rsidRDefault="00BA3D00" w:rsidP="0019317C">
      <w:pPr>
        <w:spacing w:after="0" w:line="240" w:lineRule="auto"/>
        <w:rPr>
          <w:rFonts w:ascii="Bliss 2 Light" w:hAnsi="Bliss 2 Light"/>
          <w:b/>
          <w:bCs/>
          <w:sz w:val="24"/>
          <w:szCs w:val="24"/>
        </w:rPr>
      </w:pPr>
    </w:p>
    <w:p w14:paraId="67EE4752" w14:textId="3B32FB11" w:rsidR="00EC7C6A" w:rsidRDefault="00EC7C6A" w:rsidP="0019317C">
      <w:pPr>
        <w:spacing w:after="0" w:line="240" w:lineRule="auto"/>
        <w:rPr>
          <w:rFonts w:ascii="Bliss 2 Light" w:hAnsi="Bliss 2 Light"/>
          <w:b/>
          <w:bCs/>
          <w:sz w:val="24"/>
          <w:szCs w:val="24"/>
        </w:rPr>
      </w:pPr>
    </w:p>
    <w:p w14:paraId="2DD692B2" w14:textId="1BC67023" w:rsidR="00EC7C6A" w:rsidRDefault="00EC7C6A" w:rsidP="0019317C">
      <w:pPr>
        <w:spacing w:after="0" w:line="240" w:lineRule="auto"/>
        <w:rPr>
          <w:rFonts w:ascii="Bliss 2 Light" w:hAnsi="Bliss 2 Light"/>
          <w:b/>
          <w:bCs/>
          <w:sz w:val="24"/>
          <w:szCs w:val="24"/>
        </w:rPr>
      </w:pPr>
    </w:p>
    <w:p w14:paraId="26C8AE68" w14:textId="7BD78E64" w:rsidR="00EC7C6A" w:rsidRDefault="00EC7C6A" w:rsidP="0019317C">
      <w:pPr>
        <w:spacing w:after="0" w:line="240" w:lineRule="auto"/>
        <w:rPr>
          <w:rFonts w:ascii="Bliss 2 Light" w:hAnsi="Bliss 2 Light"/>
          <w:b/>
          <w:bCs/>
          <w:sz w:val="24"/>
          <w:szCs w:val="24"/>
        </w:rPr>
      </w:pPr>
    </w:p>
    <w:p w14:paraId="177E7E87" w14:textId="6AC8BF9B" w:rsidR="00EC7C6A" w:rsidRDefault="00EC7C6A" w:rsidP="0019317C">
      <w:pPr>
        <w:spacing w:after="0" w:line="240" w:lineRule="auto"/>
        <w:rPr>
          <w:rFonts w:ascii="Bliss 2 Light" w:hAnsi="Bliss 2 Light"/>
          <w:b/>
          <w:bCs/>
          <w:sz w:val="24"/>
          <w:szCs w:val="24"/>
        </w:rPr>
      </w:pPr>
    </w:p>
    <w:p w14:paraId="326B90D9" w14:textId="63A0B244" w:rsidR="00EC7C6A" w:rsidRDefault="00EC7C6A" w:rsidP="0019317C">
      <w:pPr>
        <w:spacing w:after="0" w:line="240" w:lineRule="auto"/>
        <w:rPr>
          <w:rFonts w:ascii="Bliss 2 Light" w:hAnsi="Bliss 2 Light"/>
          <w:b/>
          <w:bCs/>
          <w:sz w:val="24"/>
          <w:szCs w:val="24"/>
        </w:rPr>
      </w:pPr>
    </w:p>
    <w:p w14:paraId="26E3C7F3" w14:textId="0B7A88AD" w:rsidR="00EC7C6A" w:rsidRDefault="00EC7C6A" w:rsidP="0019317C">
      <w:pPr>
        <w:spacing w:after="0" w:line="240" w:lineRule="auto"/>
        <w:rPr>
          <w:rFonts w:ascii="Bliss 2 Light" w:hAnsi="Bliss 2 Light"/>
          <w:b/>
          <w:bCs/>
          <w:sz w:val="24"/>
          <w:szCs w:val="24"/>
        </w:rPr>
      </w:pPr>
    </w:p>
    <w:p w14:paraId="76DA0EB0" w14:textId="26727ED5" w:rsidR="00EC7C6A" w:rsidRDefault="00EC7C6A" w:rsidP="0019317C">
      <w:pPr>
        <w:spacing w:after="0" w:line="240" w:lineRule="auto"/>
        <w:rPr>
          <w:rFonts w:ascii="Bliss 2 Light" w:hAnsi="Bliss 2 Light"/>
          <w:b/>
          <w:bCs/>
          <w:sz w:val="24"/>
          <w:szCs w:val="24"/>
        </w:rPr>
      </w:pPr>
    </w:p>
    <w:p w14:paraId="117885D4" w14:textId="57B2BE53" w:rsidR="00EC7C6A" w:rsidRDefault="00EC7C6A" w:rsidP="0019317C">
      <w:pPr>
        <w:spacing w:after="0" w:line="240" w:lineRule="auto"/>
        <w:rPr>
          <w:rFonts w:ascii="Bliss 2 Light" w:hAnsi="Bliss 2 Light"/>
          <w:b/>
          <w:bCs/>
          <w:sz w:val="24"/>
          <w:szCs w:val="24"/>
        </w:rPr>
      </w:pPr>
    </w:p>
    <w:p w14:paraId="7F3C6BB6" w14:textId="4BFD2518" w:rsidR="00EC7C6A" w:rsidRDefault="00EC7C6A" w:rsidP="0019317C">
      <w:pPr>
        <w:spacing w:after="0" w:line="240" w:lineRule="auto"/>
        <w:rPr>
          <w:rFonts w:ascii="Bliss 2 Light" w:hAnsi="Bliss 2 Light"/>
          <w:b/>
          <w:bCs/>
          <w:sz w:val="24"/>
          <w:szCs w:val="24"/>
        </w:rPr>
      </w:pPr>
    </w:p>
    <w:p w14:paraId="4984ECD9" w14:textId="65C9DFE9" w:rsidR="00EC7C6A" w:rsidRDefault="00EC7C6A" w:rsidP="0019317C">
      <w:pPr>
        <w:spacing w:after="0" w:line="240" w:lineRule="auto"/>
        <w:rPr>
          <w:rFonts w:ascii="Bliss 2 Light" w:hAnsi="Bliss 2 Light"/>
          <w:b/>
          <w:bCs/>
          <w:sz w:val="24"/>
          <w:szCs w:val="24"/>
        </w:rPr>
      </w:pPr>
      <w:r>
        <w:rPr>
          <w:rFonts w:ascii="Bliss 2 Light" w:hAnsi="Bliss 2 Light"/>
          <w:b/>
          <w:bCs/>
          <w:sz w:val="24"/>
          <w:szCs w:val="24"/>
        </w:rPr>
        <w:lastRenderedPageBreak/>
        <w:t>--------------------------------------------------------------------------------------------------------------------------</w:t>
      </w:r>
    </w:p>
    <w:p w14:paraId="27F81598" w14:textId="77777777" w:rsidR="00EC7C6A" w:rsidRDefault="00EC7C6A" w:rsidP="0019317C">
      <w:pPr>
        <w:spacing w:after="0" w:line="240" w:lineRule="auto"/>
        <w:rPr>
          <w:rFonts w:ascii="Bliss 2 Light" w:hAnsi="Bliss 2 Light"/>
          <w:b/>
          <w:bCs/>
          <w:sz w:val="24"/>
          <w:szCs w:val="24"/>
        </w:rPr>
      </w:pPr>
    </w:p>
    <w:p w14:paraId="16FE39FF" w14:textId="2929A245" w:rsidR="005516A2" w:rsidRPr="00AA6FB8" w:rsidRDefault="005516A2" w:rsidP="007B3E8B">
      <w:pPr>
        <w:pStyle w:val="Default"/>
        <w:rPr>
          <w:b/>
          <w:bCs/>
          <w:i/>
          <w:iCs/>
          <w:sz w:val="28"/>
          <w:szCs w:val="28"/>
          <w:u w:val="single"/>
        </w:rPr>
      </w:pPr>
      <w:r w:rsidRPr="00AA6FB8">
        <w:rPr>
          <w:b/>
          <w:bCs/>
          <w:i/>
          <w:iCs/>
          <w:sz w:val="28"/>
          <w:szCs w:val="28"/>
          <w:u w:val="single"/>
        </w:rPr>
        <w:t>Forthcoming changes (April 2021)</w:t>
      </w:r>
    </w:p>
    <w:p w14:paraId="3D42FD0B" w14:textId="4DF26FE1" w:rsidR="005516A2" w:rsidRDefault="005516A2" w:rsidP="0019317C">
      <w:pPr>
        <w:spacing w:after="0" w:line="240" w:lineRule="auto"/>
        <w:rPr>
          <w:rFonts w:ascii="Bliss 2 Light" w:hAnsi="Bliss 2 Light"/>
          <w:b/>
          <w:bCs/>
          <w:sz w:val="24"/>
          <w:szCs w:val="24"/>
        </w:rPr>
      </w:pPr>
    </w:p>
    <w:p w14:paraId="4E30AA26" w14:textId="58B6F574" w:rsidR="007B3E8B" w:rsidRPr="007B3E8B" w:rsidRDefault="007B3E8B" w:rsidP="007B3E8B">
      <w:pPr>
        <w:pStyle w:val="Default"/>
      </w:pPr>
      <w:r w:rsidRPr="007B3E8B">
        <w:t xml:space="preserve">Further changes to the Regulations will be made by April 2021 to implement the remaining aspects of the 2020/21 deal. </w:t>
      </w:r>
    </w:p>
    <w:p w14:paraId="5B46EAEF" w14:textId="77777777" w:rsidR="007B3E8B" w:rsidRPr="007B3E8B" w:rsidRDefault="007B3E8B" w:rsidP="007B3E8B">
      <w:pPr>
        <w:pStyle w:val="Default"/>
      </w:pPr>
    </w:p>
    <w:p w14:paraId="0234D7A7" w14:textId="2A9CC38D" w:rsidR="007B3E8B" w:rsidRPr="007B3E8B" w:rsidRDefault="007B3E8B" w:rsidP="007B3E8B">
      <w:pPr>
        <w:pStyle w:val="Default"/>
      </w:pPr>
      <w:r w:rsidRPr="007B3E8B">
        <w:t xml:space="preserve">Vaccinations and immunisations will become essential services as well as introduce pay transparency. </w:t>
      </w:r>
    </w:p>
    <w:p w14:paraId="37EB6601" w14:textId="77777777" w:rsidR="007B3E8B" w:rsidRPr="007B3E8B" w:rsidRDefault="007B3E8B" w:rsidP="007B3E8B">
      <w:pPr>
        <w:pStyle w:val="Default"/>
      </w:pPr>
    </w:p>
    <w:p w14:paraId="547601C9" w14:textId="77777777" w:rsidR="007B3E8B" w:rsidRPr="007B3E8B" w:rsidRDefault="007B3E8B" w:rsidP="007B3E8B">
      <w:pPr>
        <w:pStyle w:val="Default"/>
      </w:pPr>
      <w:r w:rsidRPr="007B3E8B">
        <w:t xml:space="preserve">New regulatory requirement in January 2021 for practices to record ethnicity data where this is provided. </w:t>
      </w:r>
    </w:p>
    <w:p w14:paraId="0B08D30F" w14:textId="77777777" w:rsidR="007B3E8B" w:rsidRPr="007B3E8B" w:rsidRDefault="007B3E8B" w:rsidP="007B3E8B">
      <w:pPr>
        <w:pStyle w:val="Default"/>
      </w:pPr>
    </w:p>
    <w:p w14:paraId="46798EA6" w14:textId="7BB66D9C" w:rsidR="007B3E8B" w:rsidRPr="007B3E8B" w:rsidRDefault="007B3E8B" w:rsidP="007B3E8B">
      <w:pPr>
        <w:pStyle w:val="Default"/>
      </w:pPr>
      <w:r w:rsidRPr="007B3E8B">
        <w:t>In the meantime,</w:t>
      </w:r>
      <w:r w:rsidR="00AA6FB8">
        <w:t xml:space="preserve"> </w:t>
      </w:r>
      <w:r w:rsidRPr="007B3E8B">
        <w:t>all NHS organisations are asked to proactively review and ensure the completeness of patient ethnicity data by no later than 31 December</w:t>
      </w:r>
      <w:r w:rsidR="00AA6FB8">
        <w:t xml:space="preserve"> </w:t>
      </w:r>
      <w:r w:rsidRPr="007B3E8B">
        <w:t>as per the phase 3 implementation letter</w:t>
      </w:r>
    </w:p>
    <w:p w14:paraId="166D0FD5" w14:textId="77777777" w:rsidR="007B3E8B" w:rsidRPr="007B3E8B" w:rsidRDefault="007B3E8B" w:rsidP="007B3E8B">
      <w:pPr>
        <w:spacing w:after="0" w:line="240" w:lineRule="auto"/>
        <w:rPr>
          <w:rFonts w:ascii="Arial" w:eastAsia="Times New Roman" w:hAnsi="Arial" w:cs="Arial"/>
          <w:sz w:val="24"/>
          <w:szCs w:val="24"/>
          <w:lang w:eastAsia="en-GB"/>
        </w:rPr>
      </w:pPr>
    </w:p>
    <w:p w14:paraId="2F9D2764" w14:textId="2AC5AD13" w:rsidR="005516A2" w:rsidRDefault="005516A2" w:rsidP="0019317C">
      <w:pPr>
        <w:spacing w:after="0" w:line="240" w:lineRule="auto"/>
        <w:rPr>
          <w:rFonts w:ascii="Bliss 2 Light" w:hAnsi="Bliss 2 Light"/>
          <w:b/>
          <w:bCs/>
          <w:i/>
          <w:iCs/>
          <w:sz w:val="24"/>
          <w:szCs w:val="24"/>
          <w:u w:val="single"/>
        </w:rPr>
      </w:pPr>
    </w:p>
    <w:p w14:paraId="7C8D6B85" w14:textId="75ABA082" w:rsidR="00E82F94" w:rsidRDefault="00E82F94" w:rsidP="0019317C">
      <w:pPr>
        <w:spacing w:after="0" w:line="240" w:lineRule="auto"/>
        <w:rPr>
          <w:rFonts w:ascii="Bliss 2 Light" w:hAnsi="Bliss 2 Light"/>
          <w:b/>
          <w:bCs/>
          <w:i/>
          <w:iCs/>
          <w:sz w:val="24"/>
          <w:szCs w:val="24"/>
        </w:rPr>
      </w:pPr>
      <w:r>
        <w:rPr>
          <w:rFonts w:ascii="Bliss 2 Light" w:hAnsi="Bliss 2 Light"/>
          <w:b/>
          <w:bCs/>
          <w:i/>
          <w:iCs/>
          <w:sz w:val="24"/>
          <w:szCs w:val="24"/>
        </w:rPr>
        <w:t>--------------------------------------------------------------------------------------------------------------------------</w:t>
      </w:r>
    </w:p>
    <w:p w14:paraId="543993C9" w14:textId="77777777" w:rsidR="00E82F94" w:rsidRPr="00E82F94" w:rsidRDefault="00E82F94" w:rsidP="0019317C">
      <w:pPr>
        <w:spacing w:after="0" w:line="240" w:lineRule="auto"/>
        <w:rPr>
          <w:rFonts w:ascii="Bliss 2 Light" w:hAnsi="Bliss 2 Light"/>
          <w:b/>
          <w:bCs/>
          <w:i/>
          <w:iCs/>
          <w:sz w:val="24"/>
          <w:szCs w:val="24"/>
        </w:rPr>
      </w:pPr>
    </w:p>
    <w:p w14:paraId="4EBFD26F" w14:textId="03996AA6" w:rsidR="005516A2" w:rsidRPr="00AA6FB8" w:rsidRDefault="005516A2" w:rsidP="00AA6FB8">
      <w:pPr>
        <w:pStyle w:val="Default"/>
        <w:rPr>
          <w:b/>
          <w:bCs/>
          <w:i/>
          <w:iCs/>
          <w:sz w:val="28"/>
          <w:szCs w:val="28"/>
          <w:u w:val="single"/>
        </w:rPr>
      </w:pPr>
      <w:r w:rsidRPr="00AA6FB8">
        <w:rPr>
          <w:b/>
          <w:bCs/>
          <w:i/>
          <w:iCs/>
          <w:sz w:val="28"/>
          <w:szCs w:val="28"/>
          <w:u w:val="single"/>
        </w:rPr>
        <w:t>The Regulation</w:t>
      </w:r>
    </w:p>
    <w:p w14:paraId="791B854B" w14:textId="77777777" w:rsidR="005516A2" w:rsidRDefault="005516A2" w:rsidP="0019317C">
      <w:pPr>
        <w:spacing w:after="0" w:line="240" w:lineRule="auto"/>
        <w:rPr>
          <w:rFonts w:ascii="Bliss 2 Light" w:hAnsi="Bliss 2 Light"/>
          <w:b/>
          <w:bCs/>
          <w:sz w:val="24"/>
          <w:szCs w:val="24"/>
        </w:rPr>
      </w:pPr>
    </w:p>
    <w:p w14:paraId="5828FAF7" w14:textId="5068CF82" w:rsidR="00BA3D00" w:rsidRDefault="00EC7C6A" w:rsidP="0019317C">
      <w:pPr>
        <w:spacing w:after="0" w:line="240" w:lineRule="auto"/>
        <w:rPr>
          <w:rFonts w:ascii="Bliss 2 Light" w:hAnsi="Bliss 2 Light"/>
          <w:b/>
          <w:bCs/>
          <w:sz w:val="24"/>
          <w:szCs w:val="24"/>
        </w:rPr>
      </w:pPr>
      <w:hyperlink r:id="rId11" w:history="1">
        <w:r w:rsidR="005516A2" w:rsidRPr="009C3C31">
          <w:rPr>
            <w:rStyle w:val="Hyperlink"/>
            <w:rFonts w:ascii="Bliss 2 Light" w:hAnsi="Bliss 2 Light"/>
            <w:b/>
            <w:bCs/>
            <w:sz w:val="24"/>
            <w:szCs w:val="24"/>
          </w:rPr>
          <w:t>https://www.legislation.gov.uk/uksi/2020/911/schedule/1/made</w:t>
        </w:r>
      </w:hyperlink>
    </w:p>
    <w:p w14:paraId="00495706" w14:textId="50124B0F" w:rsidR="005516A2" w:rsidRDefault="005516A2" w:rsidP="0019317C">
      <w:pPr>
        <w:spacing w:after="0" w:line="240" w:lineRule="auto"/>
        <w:rPr>
          <w:rFonts w:ascii="Bliss 2 Light" w:hAnsi="Bliss 2 Light"/>
          <w:b/>
          <w:bCs/>
          <w:sz w:val="24"/>
          <w:szCs w:val="24"/>
        </w:rPr>
      </w:pPr>
    </w:p>
    <w:p w14:paraId="68D658F6" w14:textId="63361226" w:rsidR="005516A2" w:rsidRPr="00BA3D00" w:rsidRDefault="00E82F94" w:rsidP="0019317C">
      <w:pPr>
        <w:spacing w:after="0" w:line="240" w:lineRule="auto"/>
        <w:rPr>
          <w:rFonts w:ascii="Bliss 2 Light" w:hAnsi="Bliss 2 Light"/>
          <w:b/>
          <w:bCs/>
          <w:sz w:val="24"/>
          <w:szCs w:val="24"/>
        </w:rPr>
      </w:pPr>
      <w:r>
        <w:rPr>
          <w:rFonts w:ascii="Bliss 2 Light" w:hAnsi="Bliss 2 Light"/>
          <w:b/>
          <w:bCs/>
          <w:sz w:val="24"/>
          <w:szCs w:val="24"/>
        </w:rPr>
        <w:t>--------------------------------------------------------------------------------------------------------------------------</w:t>
      </w:r>
    </w:p>
    <w:sectPr w:rsidR="005516A2" w:rsidRPr="00BA3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iss 2 Light">
    <w:altName w:val="Calibri"/>
    <w:panose1 w:val="00000000000000000000"/>
    <w:charset w:val="00"/>
    <w:family w:val="modern"/>
    <w:notTrueType/>
    <w:pitch w:val="variable"/>
    <w:sig w:usb0="A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CC2412"/>
    <w:multiLevelType w:val="hybridMultilevel"/>
    <w:tmpl w:val="F70652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F5"/>
    <w:rsid w:val="000532A3"/>
    <w:rsid w:val="000D1056"/>
    <w:rsid w:val="0019317C"/>
    <w:rsid w:val="0021622B"/>
    <w:rsid w:val="00233C52"/>
    <w:rsid w:val="002A03B0"/>
    <w:rsid w:val="002A3488"/>
    <w:rsid w:val="002C209C"/>
    <w:rsid w:val="003A2028"/>
    <w:rsid w:val="003B699A"/>
    <w:rsid w:val="003C21F5"/>
    <w:rsid w:val="00515809"/>
    <w:rsid w:val="00527A86"/>
    <w:rsid w:val="005516A2"/>
    <w:rsid w:val="00576051"/>
    <w:rsid w:val="0061124A"/>
    <w:rsid w:val="00707733"/>
    <w:rsid w:val="007B3E8B"/>
    <w:rsid w:val="00823375"/>
    <w:rsid w:val="008358DF"/>
    <w:rsid w:val="00865144"/>
    <w:rsid w:val="009E5ED0"/>
    <w:rsid w:val="009E7C86"/>
    <w:rsid w:val="009F2FA5"/>
    <w:rsid w:val="00AA6FB8"/>
    <w:rsid w:val="00AB7877"/>
    <w:rsid w:val="00BA3D00"/>
    <w:rsid w:val="00BF35C4"/>
    <w:rsid w:val="00BF535F"/>
    <w:rsid w:val="00C106C3"/>
    <w:rsid w:val="00CF4530"/>
    <w:rsid w:val="00D65CF5"/>
    <w:rsid w:val="00DE752F"/>
    <w:rsid w:val="00E26821"/>
    <w:rsid w:val="00E7511B"/>
    <w:rsid w:val="00E82F94"/>
    <w:rsid w:val="00EC535F"/>
    <w:rsid w:val="00EC7C6A"/>
    <w:rsid w:val="00F00C5C"/>
    <w:rsid w:val="00F30093"/>
    <w:rsid w:val="00FF4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D929"/>
  <w15:chartTrackingRefBased/>
  <w15:docId w15:val="{31BCCD53-8FE4-469E-9BF4-90ABDC60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1F5"/>
    <w:pPr>
      <w:ind w:left="720"/>
      <w:contextualSpacing/>
    </w:pPr>
  </w:style>
  <w:style w:type="character" w:styleId="Hyperlink">
    <w:name w:val="Hyperlink"/>
    <w:basedOn w:val="DefaultParagraphFont"/>
    <w:uiPriority w:val="99"/>
    <w:unhideWhenUsed/>
    <w:rsid w:val="000D1056"/>
    <w:rPr>
      <w:color w:val="0563C1" w:themeColor="hyperlink"/>
      <w:u w:val="single"/>
    </w:rPr>
  </w:style>
  <w:style w:type="character" w:styleId="FollowedHyperlink">
    <w:name w:val="FollowedHyperlink"/>
    <w:basedOn w:val="DefaultParagraphFont"/>
    <w:uiPriority w:val="99"/>
    <w:semiHidden/>
    <w:unhideWhenUsed/>
    <w:rsid w:val="000D1056"/>
    <w:rPr>
      <w:color w:val="954F72" w:themeColor="followedHyperlink"/>
      <w:u w:val="single"/>
    </w:rPr>
  </w:style>
  <w:style w:type="character" w:styleId="UnresolvedMention">
    <w:name w:val="Unresolved Mention"/>
    <w:basedOn w:val="DefaultParagraphFont"/>
    <w:uiPriority w:val="99"/>
    <w:semiHidden/>
    <w:unhideWhenUsed/>
    <w:rsid w:val="002C209C"/>
    <w:rPr>
      <w:color w:val="605E5C"/>
      <w:shd w:val="clear" w:color="auto" w:fill="E1DFDD"/>
    </w:rPr>
  </w:style>
  <w:style w:type="paragraph" w:customStyle="1" w:styleId="Default">
    <w:name w:val="Default"/>
    <w:basedOn w:val="Normal"/>
    <w:rsid w:val="008358DF"/>
    <w:pPr>
      <w:autoSpaceDE w:val="0"/>
      <w:autoSpaceDN w:val="0"/>
      <w:spacing w:after="0" w:line="240" w:lineRule="auto"/>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04565">
      <w:bodyDiv w:val="1"/>
      <w:marLeft w:val="0"/>
      <w:marRight w:val="0"/>
      <w:marTop w:val="0"/>
      <w:marBottom w:val="0"/>
      <w:divBdr>
        <w:top w:val="none" w:sz="0" w:space="0" w:color="auto"/>
        <w:left w:val="none" w:sz="0" w:space="0" w:color="auto"/>
        <w:bottom w:val="none" w:sz="0" w:space="0" w:color="auto"/>
        <w:right w:val="none" w:sz="0" w:space="0" w:color="auto"/>
      </w:divBdr>
    </w:div>
    <w:div w:id="1001741477">
      <w:bodyDiv w:val="1"/>
      <w:marLeft w:val="0"/>
      <w:marRight w:val="0"/>
      <w:marTop w:val="0"/>
      <w:marBottom w:val="0"/>
      <w:divBdr>
        <w:top w:val="none" w:sz="0" w:space="0" w:color="auto"/>
        <w:left w:val="none" w:sz="0" w:space="0" w:color="auto"/>
        <w:bottom w:val="none" w:sz="0" w:space="0" w:color="auto"/>
        <w:right w:val="none" w:sz="0" w:space="0" w:color="auto"/>
      </w:divBdr>
    </w:div>
    <w:div w:id="1909680466">
      <w:bodyDiv w:val="1"/>
      <w:marLeft w:val="0"/>
      <w:marRight w:val="0"/>
      <w:marTop w:val="0"/>
      <w:marBottom w:val="0"/>
      <w:divBdr>
        <w:top w:val="none" w:sz="0" w:space="0" w:color="auto"/>
        <w:left w:val="none" w:sz="0" w:space="0" w:color="auto"/>
        <w:bottom w:val="none" w:sz="0" w:space="0" w:color="auto"/>
        <w:right w:val="none" w:sz="0" w:space="0" w:color="auto"/>
      </w:divBdr>
    </w:div>
    <w:div w:id="21197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gp/gp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igital.nhs.uk/data-and-information/areas-of-interest/workforce/national-workforce-reporting-system-nwrs-workforce-census-module"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england.nhs.uk/wp-content/uploads/2020/10/B0201_-GP-contract-letter-1-October-.pdf" TargetMode="External"/><Relationship Id="rId11" Type="http://schemas.openxmlformats.org/officeDocument/2006/relationships/hyperlink" Target="https://www.legislation.gov.uk/uksi/2020/911/schedule/1/made" TargetMode="External"/><Relationship Id="rId5" Type="http://schemas.openxmlformats.org/officeDocument/2006/relationships/hyperlink" Target="https://www.bma.org.uk/pay-and-contracts/contracts/gp-contract/gp-contract-england-202021" TargetMode="External"/><Relationship Id="rId15" Type="http://schemas.openxmlformats.org/officeDocument/2006/relationships/customXml" Target="../customXml/item2.xml"/><Relationship Id="rId10" Type="http://schemas.openxmlformats.org/officeDocument/2006/relationships/hyperlink" Target="https://pcse.england.nhs.uk/news/2019/july/important-information-about-gp-patient-data-lists/" TargetMode="External"/><Relationship Id="rId4" Type="http://schemas.openxmlformats.org/officeDocument/2006/relationships/webSettings" Target="webSettings.xml"/><Relationship Id="rId9" Type="http://schemas.openxmlformats.org/officeDocument/2006/relationships/hyperlink" Target="https://www.bma.org.uk/advice-and-support/gp-practices/managing-your-practice-list/practice-list-validation-by-pcse"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D2A13-4D9F-4A89-B282-3B2C2F71B46B}"/>
</file>

<file path=customXml/itemProps2.xml><?xml version="1.0" encoding="utf-8"?>
<ds:datastoreItem xmlns:ds="http://schemas.openxmlformats.org/officeDocument/2006/customXml" ds:itemID="{E0C65D0D-BE0B-4154-904C-39995BA2BD6A}"/>
</file>

<file path=customXml/itemProps3.xml><?xml version="1.0" encoding="utf-8"?>
<ds:datastoreItem xmlns:ds="http://schemas.openxmlformats.org/officeDocument/2006/customXml" ds:itemID="{C28C7235-0BCC-4222-8917-E2601197CF44}"/>
</file>

<file path=docProps/app.xml><?xml version="1.0" encoding="utf-8"?>
<Properties xmlns="http://schemas.openxmlformats.org/officeDocument/2006/extended-properties" xmlns:vt="http://schemas.openxmlformats.org/officeDocument/2006/docPropsVTypes">
  <Template>Normal</Template>
  <TotalTime>106</TotalTime>
  <Pages>6</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Rodbourne</dc:creator>
  <cp:keywords/>
  <dc:description/>
  <cp:lastModifiedBy>Wendy Loveridge</cp:lastModifiedBy>
  <cp:revision>23</cp:revision>
  <cp:lastPrinted>2020-09-22T09:10:00Z</cp:lastPrinted>
  <dcterms:created xsi:type="dcterms:W3CDTF">2020-10-05T10:32:00Z</dcterms:created>
  <dcterms:modified xsi:type="dcterms:W3CDTF">2020-10-06T12:23:00Z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