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7E79E" w14:textId="0B94CBD7" w:rsidR="0014236A" w:rsidRDefault="001B4E81" w:rsidP="00825276">
      <w:pPr>
        <w:jc w:val="center"/>
        <w:rPr>
          <w:b/>
          <w:bCs/>
          <w:i/>
          <w:iCs/>
          <w:color w:val="4472C4" w:themeColor="accent1"/>
          <w:sz w:val="32"/>
          <w:szCs w:val="32"/>
        </w:rPr>
      </w:pPr>
      <w:bookmarkStart w:id="0" w:name="_top"/>
      <w:bookmarkEnd w:id="0"/>
      <w:r>
        <w:rPr>
          <w:noProof/>
        </w:rPr>
        <mc:AlternateContent>
          <mc:Choice Requires="wps">
            <w:drawing>
              <wp:anchor distT="91440" distB="91440" distL="114300" distR="114300" simplePos="0" relativeHeight="251659264" behindDoc="0" locked="0" layoutInCell="1" allowOverlap="1" wp14:anchorId="067BC79F" wp14:editId="5E085179">
                <wp:simplePos x="0" y="0"/>
                <wp:positionH relativeFrom="page">
                  <wp:posOffset>946150</wp:posOffset>
                </wp:positionH>
                <wp:positionV relativeFrom="paragraph">
                  <wp:posOffset>220980</wp:posOffset>
                </wp:positionV>
                <wp:extent cx="5492750" cy="736600"/>
                <wp:effectExtent l="0" t="0" r="0" b="63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736600"/>
                        </a:xfrm>
                        <a:prstGeom prst="rect">
                          <a:avLst/>
                        </a:prstGeom>
                        <a:noFill/>
                        <a:ln w="9525">
                          <a:noFill/>
                          <a:miter lim="800000"/>
                          <a:headEnd/>
                          <a:tailEnd/>
                        </a:ln>
                      </wps:spPr>
                      <wps:txbx>
                        <w:txbxContent>
                          <w:p w14:paraId="2E6CEEA0" w14:textId="7D831B3E" w:rsidR="001B4E81" w:rsidRPr="00267854" w:rsidRDefault="001B4E81">
                            <w:pPr>
                              <w:pBdr>
                                <w:top w:val="single" w:sz="24" w:space="8" w:color="4472C4" w:themeColor="accent1"/>
                                <w:bottom w:val="single" w:sz="24" w:space="8" w:color="4472C4" w:themeColor="accent1"/>
                              </w:pBdr>
                              <w:spacing w:after="0"/>
                              <w:rPr>
                                <w:b/>
                                <w:bCs/>
                                <w:i/>
                                <w:iCs/>
                                <w:color w:val="4472C4" w:themeColor="accent1"/>
                                <w:sz w:val="44"/>
                                <w:szCs w:val="44"/>
                              </w:rPr>
                            </w:pPr>
                            <w:r w:rsidRPr="00267854">
                              <w:rPr>
                                <w:b/>
                                <w:bCs/>
                                <w:i/>
                                <w:iCs/>
                                <w:color w:val="4472C4" w:themeColor="accent1"/>
                                <w:sz w:val="44"/>
                                <w:szCs w:val="44"/>
                              </w:rPr>
                              <w:t xml:space="preserve">WEEKLY NEWSLETTER – </w:t>
                            </w:r>
                            <w:r w:rsidR="00FC06EF">
                              <w:rPr>
                                <w:b/>
                                <w:bCs/>
                                <w:i/>
                                <w:iCs/>
                                <w:color w:val="4472C4" w:themeColor="accent1"/>
                                <w:sz w:val="44"/>
                                <w:szCs w:val="44"/>
                              </w:rPr>
                              <w:t>2</w:t>
                            </w:r>
                            <w:r w:rsidR="00000B51" w:rsidRPr="00000B51">
                              <w:rPr>
                                <w:b/>
                                <w:bCs/>
                                <w:i/>
                                <w:iCs/>
                                <w:color w:val="4472C4" w:themeColor="accent1"/>
                                <w:sz w:val="44"/>
                                <w:szCs w:val="44"/>
                                <w:vertAlign w:val="superscript"/>
                              </w:rPr>
                              <w:t>nd</w:t>
                            </w:r>
                            <w:r w:rsidR="00000B51">
                              <w:rPr>
                                <w:b/>
                                <w:bCs/>
                                <w:i/>
                                <w:iCs/>
                                <w:color w:val="4472C4" w:themeColor="accent1"/>
                                <w:sz w:val="44"/>
                                <w:szCs w:val="44"/>
                              </w:rPr>
                              <w:t xml:space="preserve"> February</w:t>
                            </w:r>
                            <w:r w:rsidR="00A15186">
                              <w:rPr>
                                <w:b/>
                                <w:bCs/>
                                <w:i/>
                                <w:iCs/>
                                <w:color w:val="4472C4" w:themeColor="accent1"/>
                                <w:sz w:val="44"/>
                                <w:szCs w:val="44"/>
                              </w:rPr>
                              <w:t xml:space="preserve">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7BC79F" id="_x0000_t202" coordsize="21600,21600" o:spt="202" path="m,l,21600r21600,l21600,xe">
                <v:stroke joinstyle="miter"/>
                <v:path gradientshapeok="t" o:connecttype="rect"/>
              </v:shapetype>
              <v:shape id="Text Box 2" o:spid="_x0000_s1026" type="#_x0000_t202" style="position:absolute;left:0;text-align:left;margin-left:74.5pt;margin-top:17.4pt;width:432.5pt;height:58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" filled="f" stroked="f">
                <v:textbox>
                  <w:txbxContent>
                    <w:p w14:paraId="2E6CEEA0" w14:textId="7D831B3E" w:rsidR="001B4E81" w:rsidRPr="00267854" w:rsidRDefault="001B4E81">
                      <w:pPr>
                        <w:pBdr>
                          <w:top w:val="single" w:sz="24" w:space="8" w:color="4472C4" w:themeColor="accent1"/>
                          <w:bottom w:val="single" w:sz="24" w:space="8" w:color="4472C4" w:themeColor="accent1"/>
                        </w:pBdr>
                        <w:spacing w:after="0"/>
                        <w:rPr>
                          <w:b/>
                          <w:bCs/>
                          <w:i/>
                          <w:iCs/>
                          <w:color w:val="4472C4" w:themeColor="accent1"/>
                          <w:sz w:val="44"/>
                          <w:szCs w:val="44"/>
                        </w:rPr>
                      </w:pPr>
                      <w:r w:rsidRPr="00267854">
                        <w:rPr>
                          <w:b/>
                          <w:bCs/>
                          <w:i/>
                          <w:iCs/>
                          <w:color w:val="4472C4" w:themeColor="accent1"/>
                          <w:sz w:val="44"/>
                          <w:szCs w:val="44"/>
                        </w:rPr>
                        <w:t xml:space="preserve">WEEKLY NEWSLETTER – </w:t>
                      </w:r>
                      <w:r w:rsidR="00FC06EF">
                        <w:rPr>
                          <w:b/>
                          <w:bCs/>
                          <w:i/>
                          <w:iCs/>
                          <w:color w:val="4472C4" w:themeColor="accent1"/>
                          <w:sz w:val="44"/>
                          <w:szCs w:val="44"/>
                        </w:rPr>
                        <w:t>2</w:t>
                      </w:r>
                      <w:r w:rsidR="00000B51" w:rsidRPr="00000B51">
                        <w:rPr>
                          <w:b/>
                          <w:bCs/>
                          <w:i/>
                          <w:iCs/>
                          <w:color w:val="4472C4" w:themeColor="accent1"/>
                          <w:sz w:val="44"/>
                          <w:szCs w:val="44"/>
                          <w:vertAlign w:val="superscript"/>
                        </w:rPr>
                        <w:t>nd</w:t>
                      </w:r>
                      <w:r w:rsidR="00000B51">
                        <w:rPr>
                          <w:b/>
                          <w:bCs/>
                          <w:i/>
                          <w:iCs/>
                          <w:color w:val="4472C4" w:themeColor="accent1"/>
                          <w:sz w:val="44"/>
                          <w:szCs w:val="44"/>
                        </w:rPr>
                        <w:t xml:space="preserve"> February</w:t>
                      </w:r>
                      <w:r w:rsidR="00A15186">
                        <w:rPr>
                          <w:b/>
                          <w:bCs/>
                          <w:i/>
                          <w:iCs/>
                          <w:color w:val="4472C4" w:themeColor="accent1"/>
                          <w:sz w:val="44"/>
                          <w:szCs w:val="44"/>
                        </w:rPr>
                        <w:t xml:space="preserve"> 2021</w:t>
                      </w:r>
                    </w:p>
                  </w:txbxContent>
                </v:textbox>
                <w10:wrap type="topAndBottom" anchorx="page"/>
              </v:shape>
            </w:pict>
          </mc:Fallback>
        </mc:AlternateContent>
      </w:r>
      <w:r w:rsidR="00AF1DEC">
        <w:rPr>
          <w:b/>
          <w:bCs/>
          <w:i/>
          <w:iCs/>
          <w:color w:val="4472C4" w:themeColor="accent1"/>
          <w:sz w:val="32"/>
          <w:szCs w:val="32"/>
        </w:rPr>
        <w:t>E</w:t>
      </w:r>
      <w:r w:rsidR="00AF1DEC" w:rsidRPr="003444A3">
        <w:rPr>
          <w:b/>
          <w:bCs/>
          <w:i/>
          <w:iCs/>
          <w:color w:val="4472C4" w:themeColor="accent1"/>
          <w:sz w:val="32"/>
          <w:szCs w:val="32"/>
        </w:rPr>
        <w:t>XTRAORDINARY COVID-19 UPDATE</w:t>
      </w:r>
    </w:p>
    <w:p w14:paraId="08192228" w14:textId="5B7296C4" w:rsidR="00825276" w:rsidRPr="00E9309C" w:rsidRDefault="00825276" w:rsidP="00E9309C">
      <w:pPr>
        <w:rPr>
          <w:b/>
          <w:bCs/>
          <w:color w:val="000000"/>
        </w:rPr>
      </w:pPr>
    </w:p>
    <w:p w14:paraId="385584B2" w14:textId="29CF78DE" w:rsidR="00825276" w:rsidRPr="00825276" w:rsidRDefault="0030252B" w:rsidP="0059792C">
      <w:pPr>
        <w:pStyle w:val="ListParagraph"/>
        <w:numPr>
          <w:ilvl w:val="0"/>
          <w:numId w:val="8"/>
        </w:numPr>
        <w:rPr>
          <w:b/>
          <w:bCs/>
          <w:color w:val="000000"/>
        </w:rPr>
      </w:pPr>
      <w:hyperlink w:anchor="Mark_1" w:history="1">
        <w:r w:rsidR="00E9309C" w:rsidRPr="0030252B">
          <w:rPr>
            <w:rStyle w:val="Hyperlink"/>
            <w:rFonts w:cstheme="minorHAnsi"/>
            <w:b/>
            <w:bCs/>
            <w:lang w:eastAsia="en-GB"/>
          </w:rPr>
          <w:t>Updated IPC guidance</w:t>
        </w:r>
      </w:hyperlink>
    </w:p>
    <w:p w14:paraId="531433B8" w14:textId="5F496E3B" w:rsidR="00F94F4F" w:rsidRDefault="0030252B" w:rsidP="0059792C">
      <w:pPr>
        <w:pStyle w:val="ListParagraph"/>
        <w:numPr>
          <w:ilvl w:val="0"/>
          <w:numId w:val="8"/>
        </w:numPr>
        <w:rPr>
          <w:b/>
          <w:bCs/>
          <w:color w:val="000000"/>
        </w:rPr>
      </w:pPr>
      <w:hyperlink w:anchor="Mark_2" w:history="1">
        <w:r w:rsidR="00E9309C" w:rsidRPr="0030252B">
          <w:rPr>
            <w:rStyle w:val="Hyperlink"/>
            <w:b/>
            <w:bCs/>
          </w:rPr>
          <w:t>COVID-19 vaccination cohorts and supply</w:t>
        </w:r>
      </w:hyperlink>
    </w:p>
    <w:p w14:paraId="7CE9E53A" w14:textId="79EBD959" w:rsidR="00E8766D" w:rsidRPr="008B5226" w:rsidRDefault="0030252B" w:rsidP="008B5226">
      <w:pPr>
        <w:pStyle w:val="ListParagraph"/>
        <w:numPr>
          <w:ilvl w:val="0"/>
          <w:numId w:val="8"/>
        </w:numPr>
        <w:rPr>
          <w:b/>
          <w:bCs/>
          <w:color w:val="000000"/>
        </w:rPr>
      </w:pPr>
      <w:hyperlink w:anchor="Mark_3" w:history="1">
        <w:r w:rsidR="00E9309C" w:rsidRPr="0030252B">
          <w:rPr>
            <w:rStyle w:val="Hyperlink"/>
            <w:b/>
            <w:bCs/>
          </w:rPr>
          <w:t>Transfer of vaccines </w:t>
        </w:r>
      </w:hyperlink>
    </w:p>
    <w:p w14:paraId="38C39074" w14:textId="764866F5" w:rsidR="004F02FF" w:rsidRPr="00EB64DB" w:rsidRDefault="00D072EA" w:rsidP="00EB64DB">
      <w:pPr>
        <w:pStyle w:val="ListParagraph"/>
        <w:numPr>
          <w:ilvl w:val="0"/>
          <w:numId w:val="8"/>
        </w:numPr>
        <w:rPr>
          <w:rStyle w:val="Hyperlink"/>
          <w:color w:val="auto"/>
          <w:u w:val="none"/>
        </w:rPr>
      </w:pPr>
      <w:r w:rsidRPr="00D072EA">
        <w:rPr>
          <w:b/>
          <w:bCs/>
        </w:rPr>
        <w:t xml:space="preserve"> </w:t>
      </w:r>
      <w:hyperlink w:anchor="Mark_4" w:history="1">
        <w:r w:rsidR="00E9309C" w:rsidRPr="0030252B">
          <w:rPr>
            <w:rStyle w:val="Hyperlink"/>
            <w:b/>
            <w:bCs/>
          </w:rPr>
          <w:t>Vaccination of healthcare workers </w:t>
        </w:r>
      </w:hyperlink>
    </w:p>
    <w:p w14:paraId="0FB3647E" w14:textId="67BB0A03" w:rsidR="00EB64DB" w:rsidRPr="00EB64DB" w:rsidRDefault="0030252B" w:rsidP="00EB64DB">
      <w:pPr>
        <w:pStyle w:val="ListParagraph"/>
        <w:numPr>
          <w:ilvl w:val="0"/>
          <w:numId w:val="8"/>
        </w:numPr>
      </w:pPr>
      <w:hyperlink w:anchor="Mark_5" w:history="1">
        <w:r w:rsidR="00E9309C" w:rsidRPr="0030252B">
          <w:rPr>
            <w:rStyle w:val="Hyperlink"/>
            <w:b/>
            <w:bCs/>
          </w:rPr>
          <w:t>Vaccine wastage </w:t>
        </w:r>
      </w:hyperlink>
    </w:p>
    <w:p w14:paraId="19B429B1" w14:textId="4E21CE7C" w:rsidR="008B5226" w:rsidRDefault="0030252B" w:rsidP="00EB64DB">
      <w:pPr>
        <w:pStyle w:val="ListParagraph"/>
        <w:numPr>
          <w:ilvl w:val="0"/>
          <w:numId w:val="8"/>
        </w:numPr>
        <w:spacing w:after="0"/>
        <w:ind w:left="714" w:hanging="357"/>
        <w:rPr>
          <w:b/>
          <w:bCs/>
        </w:rPr>
      </w:pPr>
      <w:hyperlink w:anchor="Mark_6" w:history="1">
        <w:r w:rsidR="00E9309C" w:rsidRPr="0030252B">
          <w:rPr>
            <w:rStyle w:val="Hyperlink"/>
            <w:b/>
            <w:bCs/>
          </w:rPr>
          <w:t>Second doses </w:t>
        </w:r>
      </w:hyperlink>
    </w:p>
    <w:p w14:paraId="3B8C3791" w14:textId="51E5B440" w:rsidR="008508A4" w:rsidRDefault="0030252B" w:rsidP="00EB64DB">
      <w:pPr>
        <w:pStyle w:val="ListParagraph"/>
        <w:numPr>
          <w:ilvl w:val="0"/>
          <w:numId w:val="8"/>
        </w:numPr>
        <w:spacing w:after="0"/>
        <w:ind w:left="714" w:hanging="357"/>
        <w:rPr>
          <w:b/>
          <w:bCs/>
        </w:rPr>
      </w:pPr>
      <w:hyperlink w:anchor="Mark_7" w:history="1">
        <w:r w:rsidR="00E9309C" w:rsidRPr="0030252B">
          <w:rPr>
            <w:rStyle w:val="Hyperlink"/>
            <w:b/>
            <w:bCs/>
          </w:rPr>
          <w:t>IT issues </w:t>
        </w:r>
      </w:hyperlink>
    </w:p>
    <w:p w14:paraId="6757789E" w14:textId="151F5F66" w:rsidR="00F76452" w:rsidRPr="00E9309C" w:rsidRDefault="0030252B" w:rsidP="00EB64DB">
      <w:pPr>
        <w:pStyle w:val="ListParagraph"/>
        <w:numPr>
          <w:ilvl w:val="0"/>
          <w:numId w:val="8"/>
        </w:numPr>
        <w:spacing w:after="0"/>
        <w:ind w:left="714" w:hanging="357"/>
        <w:rPr>
          <w:b/>
          <w:bCs/>
        </w:rPr>
      </w:pPr>
      <w:hyperlink w:anchor="Mark_8" w:history="1">
        <w:r w:rsidR="00E9309C" w:rsidRPr="0030252B">
          <w:rPr>
            <w:rStyle w:val="Hyperlink"/>
            <w:rFonts w:cstheme="minorHAnsi"/>
            <w:b/>
            <w:bCs/>
            <w:sz w:val="20"/>
            <w:szCs w:val="20"/>
          </w:rPr>
          <w:t>NHSE National Workforce Supply</w:t>
        </w:r>
      </w:hyperlink>
    </w:p>
    <w:p w14:paraId="7A360475" w14:textId="25E904EE" w:rsidR="00E9309C" w:rsidRDefault="0030252B" w:rsidP="00EB64DB">
      <w:pPr>
        <w:pStyle w:val="ListParagraph"/>
        <w:numPr>
          <w:ilvl w:val="0"/>
          <w:numId w:val="8"/>
        </w:numPr>
        <w:spacing w:after="0"/>
        <w:ind w:left="714" w:hanging="357"/>
        <w:rPr>
          <w:b/>
          <w:bCs/>
        </w:rPr>
      </w:pPr>
      <w:hyperlink w:anchor="Mark_9" w:history="1">
        <w:r w:rsidR="00E9309C" w:rsidRPr="0030252B">
          <w:rPr>
            <w:rStyle w:val="Hyperlink"/>
            <w:b/>
            <w:bCs/>
          </w:rPr>
          <w:t>COVID-19 Vaccine an</w:t>
        </w:r>
        <w:r w:rsidR="00E9309C" w:rsidRPr="0030252B">
          <w:rPr>
            <w:rStyle w:val="Hyperlink"/>
            <w:b/>
            <w:bCs/>
          </w:rPr>
          <w:t>d</w:t>
        </w:r>
        <w:r w:rsidR="00E9309C" w:rsidRPr="0030252B">
          <w:rPr>
            <w:rStyle w:val="Hyperlink"/>
            <w:b/>
            <w:bCs/>
          </w:rPr>
          <w:t xml:space="preserve"> fertility</w:t>
        </w:r>
      </w:hyperlink>
    </w:p>
    <w:p w14:paraId="5C185939" w14:textId="5E9367FA" w:rsidR="00E9309C" w:rsidRPr="00EB64DB" w:rsidRDefault="0030252B" w:rsidP="00EB64DB">
      <w:pPr>
        <w:pStyle w:val="ListParagraph"/>
        <w:numPr>
          <w:ilvl w:val="0"/>
          <w:numId w:val="8"/>
        </w:numPr>
        <w:spacing w:after="0"/>
        <w:ind w:left="714" w:hanging="357"/>
        <w:rPr>
          <w:b/>
          <w:bCs/>
        </w:rPr>
      </w:pPr>
      <w:hyperlink w:anchor="Mark_10" w:history="1">
        <w:r w:rsidR="00E9309C" w:rsidRPr="0030252B">
          <w:rPr>
            <w:rStyle w:val="Hyperlink"/>
            <w:b/>
            <w:bCs/>
          </w:rPr>
          <w:t>COVID-19 vaccination figures</w:t>
        </w:r>
      </w:hyperlink>
    </w:p>
    <w:p w14:paraId="02E2D5AA" w14:textId="23BFA724" w:rsidR="00327E09" w:rsidRDefault="00327E09" w:rsidP="00E1257D">
      <w:pPr>
        <w:pStyle w:val="ListParagraph"/>
        <w:rPr>
          <w:rStyle w:val="Hyperlink"/>
          <w:color w:val="auto"/>
          <w:u w:val="none"/>
        </w:rPr>
      </w:pPr>
    </w:p>
    <w:p w14:paraId="499E7D53" w14:textId="49838E3F" w:rsidR="00295018" w:rsidRDefault="00295018" w:rsidP="00E1257D">
      <w:pPr>
        <w:jc w:val="both"/>
        <w:rPr>
          <w:color w:val="000000"/>
          <w:sz w:val="20"/>
          <w:szCs w:val="20"/>
        </w:rPr>
      </w:pPr>
    </w:p>
    <w:p w14:paraId="2BE27DAF" w14:textId="4CA29075" w:rsidR="00DE71A6" w:rsidRPr="008740AE" w:rsidRDefault="00E9309C" w:rsidP="00E9309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50" w:after="150"/>
        <w:rPr>
          <w:rFonts w:cstheme="minorHAnsi"/>
          <w:b/>
          <w:bCs/>
          <w:color w:val="222222"/>
          <w:lang w:eastAsia="en-GB"/>
        </w:rPr>
      </w:pPr>
      <w:r>
        <w:rPr>
          <w:b/>
          <w:bCs/>
          <w:color w:val="000000"/>
          <w:sz w:val="20"/>
          <w:szCs w:val="20"/>
        </w:rPr>
        <w:t>1</w:t>
      </w:r>
      <w:r w:rsidR="00DE71A6" w:rsidRPr="00E9309C">
        <w:rPr>
          <w:b/>
          <w:bCs/>
          <w:color w:val="000000"/>
          <w:sz w:val="20"/>
          <w:szCs w:val="20"/>
        </w:rPr>
        <w:t>.</w:t>
      </w:r>
      <w:r w:rsidR="00DE71A6">
        <w:rPr>
          <w:color w:val="000000"/>
          <w:sz w:val="20"/>
          <w:szCs w:val="20"/>
        </w:rPr>
        <w:tab/>
      </w:r>
      <w:bookmarkStart w:id="1" w:name="Mark_1"/>
      <w:r w:rsidR="00DE71A6" w:rsidRPr="008740AE">
        <w:rPr>
          <w:rFonts w:cstheme="minorHAnsi"/>
          <w:b/>
          <w:bCs/>
          <w:color w:val="222222"/>
          <w:lang w:eastAsia="en-GB"/>
        </w:rPr>
        <w:t>Updated IPC guidance</w:t>
      </w:r>
      <w:bookmarkEnd w:id="1"/>
    </w:p>
    <w:p w14:paraId="2AFC5EF8" w14:textId="77777777" w:rsidR="00DE71A6" w:rsidRPr="00BB349D" w:rsidRDefault="00DE71A6" w:rsidP="00E9309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50" w:after="150"/>
        <w:rPr>
          <w:rFonts w:cstheme="minorHAnsi"/>
          <w:color w:val="222222"/>
          <w:sz w:val="20"/>
          <w:szCs w:val="20"/>
          <w:lang w:eastAsia="en-GB"/>
        </w:rPr>
      </w:pPr>
      <w:r w:rsidRPr="00BB349D">
        <w:rPr>
          <w:rFonts w:cstheme="minorHAnsi"/>
          <w:color w:val="222222"/>
          <w:sz w:val="20"/>
          <w:szCs w:val="20"/>
          <w:lang w:eastAsia="en-GB"/>
        </w:rPr>
        <w:t xml:space="preserve">To read the updated IPC national guidance, please click </w:t>
      </w:r>
      <w:hyperlink r:id="rId11" w:tgtFrame="_blank" w:history="1">
        <w:r w:rsidRPr="00BB349D">
          <w:rPr>
            <w:rStyle w:val="Hyperlink"/>
            <w:rFonts w:cstheme="minorHAnsi"/>
            <w:color w:val="005EB8"/>
            <w:sz w:val="20"/>
            <w:szCs w:val="20"/>
            <w:lang w:eastAsia="en-GB"/>
          </w:rPr>
          <w:t>here</w:t>
        </w:r>
      </w:hyperlink>
      <w:r w:rsidRPr="00BB349D">
        <w:rPr>
          <w:rFonts w:cstheme="minorHAnsi"/>
          <w:color w:val="222222"/>
          <w:sz w:val="20"/>
          <w:szCs w:val="20"/>
          <w:lang w:eastAsia="en-GB"/>
        </w:rPr>
        <w:t>. There have been no fundamental or substantial changes. </w:t>
      </w:r>
    </w:p>
    <w:p w14:paraId="2ED41302" w14:textId="77777777" w:rsidR="00DE71A6" w:rsidRPr="00BB349D" w:rsidRDefault="00DE71A6" w:rsidP="00E9309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line="240" w:lineRule="auto"/>
        <w:rPr>
          <w:rFonts w:eastAsia="Times New Roman" w:cstheme="minorHAnsi"/>
          <w:color w:val="222222"/>
          <w:sz w:val="20"/>
          <w:szCs w:val="20"/>
          <w:lang w:eastAsia="en-GB"/>
        </w:rPr>
      </w:pPr>
      <w:r w:rsidRPr="00BB349D">
        <w:rPr>
          <w:rFonts w:eastAsia="Times New Roman" w:cstheme="minorHAnsi"/>
          <w:color w:val="222222"/>
          <w:sz w:val="20"/>
          <w:szCs w:val="20"/>
          <w:lang w:eastAsia="en-GB"/>
        </w:rPr>
        <w:t xml:space="preserve">Page 7 contains details on the amendments, including dental and mental health appendices. </w:t>
      </w:r>
    </w:p>
    <w:p w14:paraId="18E9EF13" w14:textId="77777777" w:rsidR="00DE71A6" w:rsidRPr="00BB349D" w:rsidRDefault="00DE71A6" w:rsidP="00E9309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50" w:after="150"/>
        <w:rPr>
          <w:rFonts w:cstheme="minorHAnsi"/>
          <w:color w:val="222222"/>
          <w:sz w:val="20"/>
          <w:szCs w:val="20"/>
          <w:lang w:eastAsia="en-GB"/>
        </w:rPr>
      </w:pPr>
      <w:r w:rsidRPr="00BB349D">
        <w:rPr>
          <w:rFonts w:cstheme="minorHAnsi"/>
          <w:color w:val="222222"/>
          <w:sz w:val="20"/>
          <w:szCs w:val="20"/>
          <w:lang w:eastAsia="en-GB"/>
        </w:rPr>
        <w:t>The key evidence-based messages remain consistent and include:</w:t>
      </w:r>
    </w:p>
    <w:p w14:paraId="618559FB" w14:textId="77777777" w:rsidR="00DE71A6" w:rsidRPr="00BB349D" w:rsidRDefault="00DE71A6" w:rsidP="00E9309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line="240" w:lineRule="auto"/>
        <w:rPr>
          <w:rFonts w:eastAsia="Times New Roman" w:cstheme="minorHAnsi"/>
          <w:color w:val="222222"/>
          <w:sz w:val="20"/>
          <w:szCs w:val="20"/>
          <w:lang w:eastAsia="en-GB"/>
        </w:rPr>
      </w:pPr>
      <w:r w:rsidRPr="00BB349D">
        <w:rPr>
          <w:rFonts w:eastAsia="Times New Roman" w:cstheme="minorHAnsi"/>
          <w:color w:val="222222"/>
          <w:sz w:val="20"/>
          <w:szCs w:val="20"/>
          <w:lang w:eastAsia="en-GB"/>
        </w:rPr>
        <w:t xml:space="preserve">Hand hygiene </w:t>
      </w:r>
    </w:p>
    <w:p w14:paraId="53D9E738" w14:textId="77777777" w:rsidR="00DE71A6" w:rsidRPr="00BB349D" w:rsidRDefault="00DE71A6" w:rsidP="00E9309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line="240" w:lineRule="auto"/>
        <w:rPr>
          <w:rFonts w:eastAsia="Times New Roman" w:cstheme="minorHAnsi"/>
          <w:color w:val="222222"/>
          <w:sz w:val="20"/>
          <w:szCs w:val="20"/>
          <w:lang w:eastAsia="en-GB"/>
        </w:rPr>
      </w:pPr>
      <w:r w:rsidRPr="00BB349D">
        <w:rPr>
          <w:rFonts w:eastAsia="Times New Roman" w:cstheme="minorHAnsi"/>
          <w:color w:val="222222"/>
          <w:sz w:val="20"/>
          <w:szCs w:val="20"/>
          <w:lang w:eastAsia="en-GB"/>
        </w:rPr>
        <w:t xml:space="preserve">Physical distance of two metres, inside and out </w:t>
      </w:r>
    </w:p>
    <w:p w14:paraId="698844E7" w14:textId="77777777" w:rsidR="00DE71A6" w:rsidRDefault="00DE71A6" w:rsidP="00E9309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line="240" w:lineRule="auto"/>
        <w:rPr>
          <w:rFonts w:eastAsia="Times New Roman" w:cstheme="minorHAnsi"/>
          <w:color w:val="222222"/>
          <w:sz w:val="20"/>
          <w:szCs w:val="20"/>
          <w:lang w:eastAsia="en-GB"/>
        </w:rPr>
      </w:pPr>
      <w:r w:rsidRPr="00BB349D">
        <w:rPr>
          <w:rFonts w:eastAsia="Times New Roman" w:cstheme="minorHAnsi"/>
          <w:color w:val="222222"/>
          <w:sz w:val="20"/>
          <w:szCs w:val="20"/>
          <w:lang w:eastAsia="en-GB"/>
        </w:rPr>
        <w:t xml:space="preserve">PPE, including face masks for all patients (if not detrimental to care) </w:t>
      </w:r>
    </w:p>
    <w:p w14:paraId="2BC851E6" w14:textId="77777777" w:rsidR="00DE71A6" w:rsidRPr="00BB349D" w:rsidRDefault="00DE71A6" w:rsidP="00E9309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line="240" w:lineRule="auto"/>
        <w:rPr>
          <w:rFonts w:eastAsia="Times New Roman" w:cstheme="minorHAnsi"/>
          <w:color w:val="222222"/>
          <w:sz w:val="20"/>
          <w:szCs w:val="20"/>
          <w:lang w:eastAsia="en-GB"/>
        </w:rPr>
      </w:pPr>
      <w:r w:rsidRPr="00BB349D">
        <w:rPr>
          <w:rFonts w:eastAsia="Times New Roman" w:cstheme="minorHAnsi"/>
          <w:color w:val="222222"/>
          <w:sz w:val="20"/>
          <w:szCs w:val="20"/>
          <w:lang w:eastAsia="en-GB"/>
        </w:rPr>
        <w:t xml:space="preserve">Cleaning of environment and equipment </w:t>
      </w:r>
    </w:p>
    <w:p w14:paraId="3EFAA152" w14:textId="77777777" w:rsidR="00DE71A6" w:rsidRPr="00BB349D" w:rsidRDefault="00DE71A6" w:rsidP="00E9309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cstheme="minorHAnsi"/>
          <w:sz w:val="20"/>
          <w:szCs w:val="20"/>
        </w:rPr>
      </w:pPr>
      <w:r w:rsidRPr="00BB349D">
        <w:rPr>
          <w:rFonts w:cstheme="minorHAnsi"/>
          <w:color w:val="222222"/>
          <w:sz w:val="20"/>
          <w:szCs w:val="20"/>
          <w:lang w:eastAsia="en-GB"/>
        </w:rPr>
        <w:t>Staff and patient testing</w:t>
      </w:r>
    </w:p>
    <w:p w14:paraId="56F4D2CA" w14:textId="3F909D13" w:rsidR="00DE71A6" w:rsidRDefault="00DE71A6" w:rsidP="00E1257D">
      <w:pPr>
        <w:jc w:val="both"/>
        <w:rPr>
          <w:color w:val="000000"/>
          <w:sz w:val="20"/>
          <w:szCs w:val="20"/>
        </w:rPr>
      </w:pPr>
    </w:p>
    <w:p w14:paraId="29E6B227" w14:textId="124D4A41" w:rsidR="00E9309C" w:rsidRDefault="00E9309C" w:rsidP="00E1257D">
      <w:pPr>
        <w:jc w:val="both"/>
        <w:rPr>
          <w:color w:val="000000"/>
          <w:sz w:val="20"/>
          <w:szCs w:val="20"/>
        </w:rPr>
      </w:pPr>
    </w:p>
    <w:p w14:paraId="3A26490D" w14:textId="69CD3C5B" w:rsidR="00E9309C" w:rsidRDefault="00E9309C" w:rsidP="00E1257D">
      <w:pPr>
        <w:jc w:val="both"/>
        <w:rPr>
          <w:color w:val="000000"/>
          <w:sz w:val="20"/>
          <w:szCs w:val="20"/>
        </w:rPr>
      </w:pPr>
    </w:p>
    <w:p w14:paraId="01915796" w14:textId="3FD9D7E1" w:rsidR="00E9309C" w:rsidRDefault="00E9309C" w:rsidP="00E1257D">
      <w:pPr>
        <w:jc w:val="both"/>
        <w:rPr>
          <w:color w:val="000000"/>
          <w:sz w:val="20"/>
          <w:szCs w:val="20"/>
        </w:rPr>
      </w:pPr>
    </w:p>
    <w:p w14:paraId="233BAA08" w14:textId="77777777" w:rsidR="00E9309C" w:rsidRDefault="00E9309C" w:rsidP="00E1257D">
      <w:pPr>
        <w:jc w:val="both"/>
        <w:rPr>
          <w:color w:val="000000"/>
          <w:sz w:val="20"/>
          <w:szCs w:val="20"/>
        </w:rPr>
      </w:pPr>
    </w:p>
    <w:p w14:paraId="139F6141" w14:textId="77777777" w:rsidR="00DE71A6" w:rsidRDefault="00DE71A6" w:rsidP="00E1257D">
      <w:pPr>
        <w:jc w:val="both"/>
        <w:rPr>
          <w:color w:val="000000"/>
          <w:sz w:val="20"/>
          <w:szCs w:val="20"/>
        </w:rPr>
      </w:pPr>
    </w:p>
    <w:p w14:paraId="6232790F" w14:textId="7F32FB5A" w:rsidR="00EF6E32" w:rsidRPr="0086458C" w:rsidRDefault="00E9309C" w:rsidP="00EF6E3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000000"/>
        </w:rPr>
      </w:pPr>
      <w:r>
        <w:rPr>
          <w:b/>
          <w:bCs/>
          <w:color w:val="000000"/>
          <w:sz w:val="20"/>
          <w:szCs w:val="20"/>
        </w:rPr>
        <w:t>2</w:t>
      </w:r>
      <w:r w:rsidR="00B9088A" w:rsidRPr="00B9088A">
        <w:rPr>
          <w:b/>
          <w:bCs/>
          <w:color w:val="000000"/>
          <w:sz w:val="20"/>
          <w:szCs w:val="20"/>
        </w:rPr>
        <w:t>.</w:t>
      </w:r>
      <w:r w:rsidR="00B9088A" w:rsidRPr="00B9088A">
        <w:rPr>
          <w:b/>
          <w:bCs/>
          <w:color w:val="000000"/>
          <w:sz w:val="20"/>
          <w:szCs w:val="20"/>
        </w:rPr>
        <w:tab/>
      </w:r>
      <w:bookmarkStart w:id="2" w:name="Mark_2"/>
      <w:r w:rsidR="00EF6E32" w:rsidRPr="0086458C">
        <w:rPr>
          <w:b/>
          <w:bCs/>
          <w:color w:val="000000"/>
        </w:rPr>
        <w:t xml:space="preserve">COVID-19 vaccination </w:t>
      </w:r>
      <w:r w:rsidR="00EF6E32">
        <w:rPr>
          <w:b/>
          <w:bCs/>
          <w:color w:val="000000"/>
        </w:rPr>
        <w:t>cohorts and s</w:t>
      </w:r>
      <w:r w:rsidR="00EF6E32" w:rsidRPr="0086458C">
        <w:rPr>
          <w:b/>
          <w:bCs/>
          <w:color w:val="000000"/>
        </w:rPr>
        <w:t>uppl</w:t>
      </w:r>
      <w:r w:rsidR="00EF6E32">
        <w:rPr>
          <w:b/>
          <w:bCs/>
          <w:color w:val="000000"/>
        </w:rPr>
        <w:t>y</w:t>
      </w:r>
      <w:bookmarkEnd w:id="2"/>
    </w:p>
    <w:p w14:paraId="569E00BC" w14:textId="4A1610B8" w:rsidR="00EF6E32" w:rsidRPr="0086458C" w:rsidRDefault="00EF6E32" w:rsidP="00EF6E3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86458C">
        <w:rPr>
          <w:color w:val="000000"/>
          <w:sz w:val="20"/>
          <w:szCs w:val="20"/>
        </w:rPr>
        <w:t xml:space="preserve">The roll out of the COVID-19 vaccination programme continues at pace, with the inclusion of two new </w:t>
      </w:r>
      <w:hyperlink r:id="rId12" w:history="1">
        <w:r w:rsidRPr="0086458C">
          <w:rPr>
            <w:rStyle w:val="Hyperlink"/>
            <w:sz w:val="20"/>
            <w:szCs w:val="20"/>
          </w:rPr>
          <w:t>cohorts</w:t>
        </w:r>
      </w:hyperlink>
      <w:r w:rsidRPr="0086458C">
        <w:rPr>
          <w:color w:val="000000"/>
          <w:sz w:val="20"/>
          <w:szCs w:val="20"/>
        </w:rPr>
        <w:t xml:space="preserve"> (people over 70 and those clinically extremely vulnerable to COVID-19) last week. Vaccinating the first two groups (care home residents and staff, and those aged 80 and over and frontline health and care staff) will remain the priority, but vaccination sites with enough supply and capacity for vaccinating further people </w:t>
      </w:r>
      <w:proofErr w:type="gramStart"/>
      <w:r w:rsidRPr="0086458C">
        <w:rPr>
          <w:color w:val="000000"/>
          <w:sz w:val="20"/>
          <w:szCs w:val="20"/>
        </w:rPr>
        <w:t>are allowed to</w:t>
      </w:r>
      <w:proofErr w:type="gramEnd"/>
      <w:r w:rsidRPr="0086458C">
        <w:rPr>
          <w:color w:val="000000"/>
          <w:sz w:val="20"/>
          <w:szCs w:val="20"/>
        </w:rPr>
        <w:t xml:space="preserve"> offer vaccinations to the next 2 cohorts.  </w:t>
      </w:r>
    </w:p>
    <w:p w14:paraId="068F1EB7" w14:textId="77777777" w:rsidR="00EF6E32" w:rsidRPr="0086458C" w:rsidRDefault="00EF6E32" w:rsidP="00EF6E3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sz w:val="20"/>
          <w:szCs w:val="20"/>
        </w:rPr>
      </w:pPr>
      <w:r w:rsidRPr="0086458C">
        <w:rPr>
          <w:color w:val="000000"/>
          <w:sz w:val="20"/>
          <w:szCs w:val="20"/>
        </w:rPr>
        <w:t xml:space="preserve">Following earlier issues with vaccine supply, </w:t>
      </w:r>
      <w:r>
        <w:rPr>
          <w:color w:val="000000"/>
          <w:sz w:val="20"/>
          <w:szCs w:val="20"/>
        </w:rPr>
        <w:t xml:space="preserve">the BMA </w:t>
      </w:r>
      <w:r w:rsidRPr="0086458C">
        <w:rPr>
          <w:color w:val="000000"/>
          <w:sz w:val="20"/>
          <w:szCs w:val="20"/>
        </w:rPr>
        <w:t>are being reassured that they are becoming more stable each week although some batches can still vary</w:t>
      </w:r>
      <w:r>
        <w:rPr>
          <w:color w:val="000000"/>
          <w:sz w:val="20"/>
          <w:szCs w:val="20"/>
        </w:rPr>
        <w:t>.</w:t>
      </w:r>
    </w:p>
    <w:p w14:paraId="199EF4C9" w14:textId="3B9A13F8" w:rsidR="00F76452" w:rsidRDefault="00F76452" w:rsidP="00EF6E32">
      <w:pPr>
        <w:jc w:val="both"/>
        <w:rPr>
          <w:color w:val="000000"/>
          <w:sz w:val="20"/>
          <w:szCs w:val="20"/>
        </w:rPr>
      </w:pPr>
    </w:p>
    <w:p w14:paraId="5EE1D3E1" w14:textId="52DCA3DF" w:rsidR="00E9309C" w:rsidRPr="00F44A28" w:rsidRDefault="00E9309C" w:rsidP="00E9309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000000"/>
        </w:rPr>
      </w:pPr>
      <w:r>
        <w:rPr>
          <w:b/>
          <w:bCs/>
          <w:color w:val="000000"/>
          <w:sz w:val="20"/>
          <w:szCs w:val="20"/>
        </w:rPr>
        <w:t>3</w:t>
      </w:r>
      <w:r w:rsidRPr="00E9309C">
        <w:rPr>
          <w:b/>
          <w:bCs/>
          <w:color w:val="000000"/>
          <w:sz w:val="20"/>
          <w:szCs w:val="20"/>
        </w:rPr>
        <w:t>.</w:t>
      </w:r>
      <w:r>
        <w:rPr>
          <w:color w:val="000000"/>
          <w:sz w:val="20"/>
          <w:szCs w:val="20"/>
        </w:rPr>
        <w:tab/>
      </w:r>
      <w:bookmarkStart w:id="3" w:name="Mark_3"/>
      <w:r w:rsidRPr="00F44A28">
        <w:rPr>
          <w:b/>
          <w:bCs/>
          <w:color w:val="000000"/>
        </w:rPr>
        <w:t>Transfer of vaccines </w:t>
      </w:r>
      <w:bookmarkEnd w:id="3"/>
    </w:p>
    <w:p w14:paraId="6860C61B" w14:textId="42F6CB4C" w:rsidR="00F76452" w:rsidRDefault="00E9309C" w:rsidP="00E9309C">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F44A28">
        <w:rPr>
          <w:color w:val="000000"/>
          <w:sz w:val="20"/>
          <w:szCs w:val="20"/>
        </w:rPr>
        <w:t xml:space="preserve">Last week, NHSE/I has published guidance on </w:t>
      </w:r>
      <w:hyperlink r:id="rId13" w:history="1">
        <w:r w:rsidRPr="00F44A28">
          <w:rPr>
            <w:rStyle w:val="Hyperlink"/>
            <w:sz w:val="20"/>
            <w:szCs w:val="20"/>
          </w:rPr>
          <w:t>Mutual aid and the transfer of COVID-19 vaccines between Hospital Hubs, Vaccination Centres and Local Vaccination Services</w:t>
        </w:r>
      </w:hyperlink>
      <w:r w:rsidRPr="00F44A28">
        <w:rPr>
          <w:color w:val="0563C1"/>
          <w:sz w:val="20"/>
          <w:szCs w:val="20"/>
          <w:u w:val="single"/>
        </w:rPr>
        <w:t>.</w:t>
      </w:r>
      <w:r w:rsidRPr="00F44A28">
        <w:rPr>
          <w:color w:val="000000"/>
          <w:sz w:val="20"/>
          <w:szCs w:val="20"/>
        </w:rPr>
        <w:t xml:space="preserve"> Annex B of the document sets out that </w:t>
      </w:r>
      <w:proofErr w:type="gramStart"/>
      <w:r w:rsidRPr="00F44A28">
        <w:rPr>
          <w:color w:val="000000"/>
          <w:sz w:val="20"/>
          <w:szCs w:val="20"/>
        </w:rPr>
        <w:t>as long as</w:t>
      </w:r>
      <w:proofErr w:type="gramEnd"/>
      <w:r w:rsidRPr="00F44A28">
        <w:rPr>
          <w:color w:val="000000"/>
          <w:sz w:val="20"/>
          <w:szCs w:val="20"/>
        </w:rPr>
        <w:t xml:space="preserve"> the relevant guidance is followed, local commissioner should be offering a supportive role in facilitating the movement of the AstraZeneca vaccine within a PCN grouping and do not need to seek formal approval for moving the vaccine in line with the arrangements set out in the letter. It also advises that once moved, the vaccine should either be administered or immediately put in a refrigerator at a practice site within the PCN grouping, and ideally administered within 24 hours or as soon as practical over the following days.</w:t>
      </w:r>
      <w:r w:rsidRPr="00F44A28">
        <w:rPr>
          <w:color w:val="0563C1"/>
          <w:sz w:val="20"/>
          <w:szCs w:val="20"/>
          <w:u w:val="single"/>
        </w:rPr>
        <w:t> </w:t>
      </w:r>
    </w:p>
    <w:p w14:paraId="63969ADB" w14:textId="77777777" w:rsidR="00F76452" w:rsidRDefault="00F76452" w:rsidP="00E1257D">
      <w:pPr>
        <w:jc w:val="both"/>
        <w:rPr>
          <w:color w:val="000000"/>
          <w:sz w:val="20"/>
          <w:szCs w:val="20"/>
        </w:rPr>
      </w:pPr>
    </w:p>
    <w:p w14:paraId="3430317F" w14:textId="0D08C90E" w:rsidR="00EF6E32" w:rsidRPr="0086458C" w:rsidRDefault="00E9309C" w:rsidP="00EF6E3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000000"/>
        </w:rPr>
      </w:pPr>
      <w:r>
        <w:rPr>
          <w:b/>
          <w:bCs/>
          <w:color w:val="000000"/>
        </w:rPr>
        <w:t>4</w:t>
      </w:r>
      <w:r w:rsidR="00F94F4F">
        <w:rPr>
          <w:b/>
          <w:bCs/>
          <w:color w:val="000000"/>
        </w:rPr>
        <w:t>.</w:t>
      </w:r>
      <w:r w:rsidR="00F94F4F">
        <w:rPr>
          <w:b/>
          <w:bCs/>
          <w:color w:val="000000"/>
        </w:rPr>
        <w:tab/>
      </w:r>
      <w:bookmarkStart w:id="4" w:name="Mark_4"/>
      <w:r w:rsidR="00EF6E32" w:rsidRPr="0086458C">
        <w:rPr>
          <w:b/>
          <w:bCs/>
          <w:color w:val="000000"/>
        </w:rPr>
        <w:t>Vaccination of healthcare workers </w:t>
      </w:r>
      <w:bookmarkEnd w:id="4"/>
    </w:p>
    <w:p w14:paraId="37E79487" w14:textId="2457C58C" w:rsidR="00EF6E32" w:rsidRDefault="00EF6E32" w:rsidP="00EF6E3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86458C">
        <w:rPr>
          <w:color w:val="000000"/>
          <w:sz w:val="20"/>
          <w:szCs w:val="20"/>
        </w:rPr>
        <w:t>The BMA has been campaigning to ensure all healthcare workers are given the opportunity to be vaccinated as soon as possible</w:t>
      </w:r>
      <w:r>
        <w:rPr>
          <w:color w:val="000000"/>
          <w:sz w:val="20"/>
          <w:szCs w:val="20"/>
        </w:rPr>
        <w:t xml:space="preserve"> and</w:t>
      </w:r>
      <w:r w:rsidRPr="0086458C">
        <w:rPr>
          <w:color w:val="000000"/>
          <w:sz w:val="20"/>
          <w:szCs w:val="20"/>
        </w:rPr>
        <w:t xml:space="preserve"> are therefore pleased that NHSE/I has reiterated that vaccinating all healthcare staff against COVID-19 is an absolute and immediate priority. NHS staff do not require an NHS number or GP registration to receive a vaccination and should never be denied one on this basis, either in person when presenting for a vaccine, or through design of booking systems. If a member of staff does not have an NHS number, then employers should vaccinate now, record locally via a paper </w:t>
      </w:r>
      <w:proofErr w:type="gramStart"/>
      <w:r w:rsidRPr="0086458C">
        <w:rPr>
          <w:color w:val="000000"/>
          <w:sz w:val="20"/>
          <w:szCs w:val="20"/>
        </w:rPr>
        <w:t>system</w:t>
      </w:r>
      <w:proofErr w:type="gramEnd"/>
      <w:r w:rsidRPr="0086458C">
        <w:rPr>
          <w:color w:val="000000"/>
          <w:sz w:val="20"/>
          <w:szCs w:val="20"/>
        </w:rPr>
        <w:t xml:space="preserve"> and ensure that that the vaccination event is more formally documented later. NHSE/I is working towards a longer-term solution, but employers should not wait for this before vaccinating. NHSE/I has also written a </w:t>
      </w:r>
      <w:hyperlink r:id="rId14" w:history="1">
        <w:r w:rsidRPr="0086458C">
          <w:rPr>
            <w:rStyle w:val="Hyperlink"/>
            <w:sz w:val="20"/>
            <w:szCs w:val="20"/>
          </w:rPr>
          <w:t>letter</w:t>
        </w:r>
      </w:hyperlink>
      <w:r w:rsidRPr="0086458C">
        <w:rPr>
          <w:color w:val="000000"/>
          <w:sz w:val="20"/>
          <w:szCs w:val="20"/>
        </w:rPr>
        <w:t xml:space="preserve"> encouraging frontline health and social care workers to get the COVID-19 vaccine as soon as possible</w:t>
      </w:r>
    </w:p>
    <w:p w14:paraId="5642487A" w14:textId="47E34823" w:rsidR="00EF6E32" w:rsidRDefault="00EF6E32" w:rsidP="00EF6E32">
      <w:pPr>
        <w:jc w:val="both"/>
        <w:rPr>
          <w:color w:val="000000"/>
          <w:sz w:val="20"/>
          <w:szCs w:val="20"/>
        </w:rPr>
      </w:pPr>
    </w:p>
    <w:p w14:paraId="508512C8" w14:textId="16BBB732" w:rsidR="00EF6E32" w:rsidRPr="0086458C" w:rsidRDefault="00E9309C" w:rsidP="00EF6E3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000000"/>
        </w:rPr>
      </w:pPr>
      <w:r>
        <w:rPr>
          <w:b/>
          <w:bCs/>
          <w:color w:val="000000"/>
        </w:rPr>
        <w:t>5</w:t>
      </w:r>
      <w:r w:rsidR="00825276">
        <w:rPr>
          <w:b/>
          <w:bCs/>
          <w:color w:val="000000"/>
        </w:rPr>
        <w:t>.</w:t>
      </w:r>
      <w:r w:rsidR="00825276">
        <w:rPr>
          <w:b/>
          <w:bCs/>
          <w:color w:val="000000"/>
        </w:rPr>
        <w:tab/>
      </w:r>
      <w:bookmarkStart w:id="5" w:name="Mark_5"/>
      <w:r w:rsidR="00EF6E32" w:rsidRPr="0086458C">
        <w:rPr>
          <w:b/>
          <w:bCs/>
          <w:color w:val="000000"/>
        </w:rPr>
        <w:t>Vaccine wastage </w:t>
      </w:r>
      <w:bookmarkEnd w:id="5"/>
    </w:p>
    <w:p w14:paraId="1C2E58AD" w14:textId="72982A70" w:rsidR="00EF6E32" w:rsidRDefault="00EF6E32" w:rsidP="00EF6E3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Pr>
          <w:color w:val="000000"/>
          <w:sz w:val="20"/>
          <w:szCs w:val="20"/>
        </w:rPr>
        <w:t>The BMA</w:t>
      </w:r>
      <w:r w:rsidRPr="0086458C">
        <w:rPr>
          <w:color w:val="000000"/>
          <w:sz w:val="20"/>
          <w:szCs w:val="20"/>
        </w:rPr>
        <w:t xml:space="preserve"> continue to have reports of some CCGs demanding that vaccines are thrown away rather than giving second doses or vaccinating other cohorts. </w:t>
      </w:r>
      <w:r>
        <w:rPr>
          <w:color w:val="000000"/>
          <w:sz w:val="20"/>
          <w:szCs w:val="20"/>
        </w:rPr>
        <w:t>They</w:t>
      </w:r>
      <w:r w:rsidRPr="0086458C">
        <w:rPr>
          <w:color w:val="000000"/>
          <w:sz w:val="20"/>
          <w:szCs w:val="20"/>
        </w:rPr>
        <w:t xml:space="preserve"> would like to reiterate that NHSE/I has made it clear that the top priority is that all vaccines be used and therefore must not be deliberately wasted. All sites should have reserve lists that they can use to make every effort to invite patients or healthcare professionals to ensure that they can make full use of any unused vaccines rather than have any go to waste. Read more about vaccine supply in the </w:t>
      </w:r>
      <w:hyperlink r:id="rId15" w:history="1">
        <w:r w:rsidRPr="0086458C">
          <w:rPr>
            <w:rStyle w:val="Hyperlink"/>
            <w:sz w:val="20"/>
            <w:szCs w:val="20"/>
          </w:rPr>
          <w:t>BMA’s advice webpage on healthcare worker vaccination</w:t>
        </w:r>
      </w:hyperlink>
      <w:r w:rsidRPr="0086458C">
        <w:rPr>
          <w:color w:val="FF0000"/>
          <w:sz w:val="20"/>
          <w:szCs w:val="20"/>
        </w:rPr>
        <w:t xml:space="preserve"> </w:t>
      </w:r>
      <w:r w:rsidRPr="0086458C">
        <w:rPr>
          <w:color w:val="000000"/>
          <w:sz w:val="20"/>
          <w:szCs w:val="20"/>
        </w:rPr>
        <w:t xml:space="preserve">and report any concerns about this via the </w:t>
      </w:r>
      <w:hyperlink r:id="rId16" w:history="1">
        <w:r w:rsidRPr="0086458C">
          <w:rPr>
            <w:rStyle w:val="Hyperlink"/>
            <w:sz w:val="20"/>
            <w:szCs w:val="20"/>
          </w:rPr>
          <w:t>feedback portal</w:t>
        </w:r>
      </w:hyperlink>
    </w:p>
    <w:p w14:paraId="52A10CB0" w14:textId="10E20D03" w:rsidR="00EF6E32" w:rsidRDefault="00EF6E32" w:rsidP="00EF6E32">
      <w:pPr>
        <w:jc w:val="both"/>
        <w:rPr>
          <w:color w:val="000000"/>
          <w:sz w:val="20"/>
          <w:szCs w:val="20"/>
        </w:rPr>
      </w:pPr>
    </w:p>
    <w:p w14:paraId="4B19DCDE" w14:textId="77777777" w:rsidR="00E9309C" w:rsidRPr="0086458C" w:rsidRDefault="00E9309C" w:rsidP="00EF6E32">
      <w:pPr>
        <w:jc w:val="both"/>
        <w:rPr>
          <w:color w:val="000000"/>
          <w:sz w:val="20"/>
          <w:szCs w:val="20"/>
        </w:rPr>
      </w:pPr>
    </w:p>
    <w:p w14:paraId="0D06573B" w14:textId="27986B49" w:rsidR="00EF6E32" w:rsidRPr="0086458C" w:rsidRDefault="00E9309C" w:rsidP="00EF6E3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000000"/>
        </w:rPr>
      </w:pPr>
      <w:r>
        <w:rPr>
          <w:b/>
          <w:bCs/>
        </w:rPr>
        <w:t>6</w:t>
      </w:r>
      <w:r w:rsidR="00393829">
        <w:rPr>
          <w:b/>
          <w:bCs/>
        </w:rPr>
        <w:t>.</w:t>
      </w:r>
      <w:r w:rsidR="00393829">
        <w:rPr>
          <w:b/>
          <w:bCs/>
        </w:rPr>
        <w:tab/>
      </w:r>
      <w:bookmarkStart w:id="6" w:name="Mark_6"/>
      <w:r w:rsidR="00EF6E32" w:rsidRPr="0086458C">
        <w:rPr>
          <w:b/>
          <w:bCs/>
          <w:color w:val="000000"/>
        </w:rPr>
        <w:t>Second doses </w:t>
      </w:r>
      <w:bookmarkEnd w:id="6"/>
    </w:p>
    <w:p w14:paraId="4D1CBD77" w14:textId="511B36D7" w:rsidR="00F76452" w:rsidRDefault="00EF6E32" w:rsidP="00EF6E3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86458C">
        <w:rPr>
          <w:color w:val="000000"/>
          <w:sz w:val="20"/>
          <w:szCs w:val="20"/>
        </w:rPr>
        <w:t>The BMA have raised with NHSE/I the need for practice sites to be able to start planning for giving second doses by booking appointments. This requires confirmation of delivery schedules in March and April, particularly of the Pfizer vaccine. </w:t>
      </w:r>
      <w:r>
        <w:rPr>
          <w:color w:val="000000"/>
          <w:sz w:val="20"/>
          <w:szCs w:val="20"/>
        </w:rPr>
        <w:t xml:space="preserve">The BMA </w:t>
      </w:r>
      <w:r w:rsidRPr="0086458C">
        <w:rPr>
          <w:color w:val="000000"/>
          <w:sz w:val="20"/>
          <w:szCs w:val="20"/>
        </w:rPr>
        <w:t>hope NHSE/I will be able to confirm arrangements for this shortly. Practices should plan for 6 doses per vial for second dose, but where there is not enough for a 6</w:t>
      </w:r>
      <w:r w:rsidRPr="0086458C">
        <w:rPr>
          <w:color w:val="000000"/>
          <w:sz w:val="20"/>
          <w:szCs w:val="20"/>
          <w:vertAlign w:val="superscript"/>
        </w:rPr>
        <w:t>th</w:t>
      </w:r>
      <w:r w:rsidRPr="0086458C">
        <w:rPr>
          <w:color w:val="000000"/>
          <w:sz w:val="20"/>
          <w:szCs w:val="20"/>
        </w:rPr>
        <w:t xml:space="preserve"> dose, NHSE/I will look to make an emergency delivery of smaller amounts of more vaccine to make up the difference. </w:t>
      </w:r>
    </w:p>
    <w:p w14:paraId="65667C04" w14:textId="27B08A29" w:rsidR="00F76452" w:rsidRDefault="00F76452" w:rsidP="00326A35">
      <w:pPr>
        <w:pStyle w:val="NoSpacing"/>
        <w:rPr>
          <w:color w:val="000000"/>
          <w:sz w:val="20"/>
          <w:szCs w:val="20"/>
        </w:rPr>
      </w:pPr>
    </w:p>
    <w:p w14:paraId="081F89DC" w14:textId="3CF8684E" w:rsidR="00D072EA" w:rsidRDefault="00D072EA" w:rsidP="00326A35">
      <w:pPr>
        <w:pStyle w:val="NoSpacing"/>
        <w:rPr>
          <w:color w:val="000000"/>
          <w:sz w:val="20"/>
          <w:szCs w:val="20"/>
        </w:rPr>
      </w:pPr>
    </w:p>
    <w:p w14:paraId="1308F682" w14:textId="4B0886B1" w:rsidR="00EF6E32" w:rsidRPr="004D3383" w:rsidRDefault="00E9309C" w:rsidP="00EF6E3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000000"/>
        </w:rPr>
      </w:pPr>
      <w:r>
        <w:rPr>
          <w:b/>
          <w:bCs/>
          <w:color w:val="000000"/>
        </w:rPr>
        <w:t>7</w:t>
      </w:r>
      <w:r w:rsidR="00EF6E32">
        <w:rPr>
          <w:b/>
          <w:bCs/>
          <w:color w:val="000000"/>
        </w:rPr>
        <w:t>.</w:t>
      </w:r>
      <w:r w:rsidR="00EF6E32">
        <w:rPr>
          <w:b/>
          <w:bCs/>
          <w:color w:val="000000"/>
        </w:rPr>
        <w:tab/>
      </w:r>
      <w:bookmarkStart w:id="7" w:name="Mark_7"/>
      <w:r w:rsidR="00EF6E32" w:rsidRPr="004D3383">
        <w:rPr>
          <w:b/>
          <w:bCs/>
          <w:color w:val="000000"/>
        </w:rPr>
        <w:t>IT issues </w:t>
      </w:r>
      <w:bookmarkEnd w:id="7"/>
    </w:p>
    <w:p w14:paraId="59E5850F" w14:textId="77777777" w:rsidR="00EF6E32" w:rsidRPr="004D3383" w:rsidRDefault="00EF6E32" w:rsidP="00EF6E3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4D3383">
        <w:rPr>
          <w:color w:val="000000"/>
          <w:sz w:val="20"/>
          <w:szCs w:val="20"/>
        </w:rPr>
        <w:t>As a result of IT problems some vaccination sites have had to record patient information on paper rather than inputting it directly into the Pinnacle system. We would therefore encourage practice sites to upload this information as soon as possible, which also needs to do be done for payment purposes. This will also help NHSE/I to plan properly for the timing of the second dose delivery. Extra funding ha</w:t>
      </w:r>
      <w:r>
        <w:rPr>
          <w:color w:val="000000"/>
          <w:sz w:val="20"/>
          <w:szCs w:val="20"/>
        </w:rPr>
        <w:t>d</w:t>
      </w:r>
      <w:r w:rsidRPr="004D3383">
        <w:rPr>
          <w:color w:val="000000"/>
          <w:sz w:val="20"/>
          <w:szCs w:val="20"/>
        </w:rPr>
        <w:t xml:space="preserve"> been made available to PCN groupings to bring in additional workforce until the end of January to ensure that all records for vaccination of priority cohorts </w:t>
      </w:r>
      <w:r>
        <w:rPr>
          <w:color w:val="000000"/>
          <w:sz w:val="20"/>
          <w:szCs w:val="20"/>
        </w:rPr>
        <w:t xml:space="preserve">were </w:t>
      </w:r>
      <w:r w:rsidRPr="004D3383">
        <w:rPr>
          <w:color w:val="000000"/>
          <w:sz w:val="20"/>
          <w:szCs w:val="20"/>
        </w:rPr>
        <w:t>up to date and recorded properly in Pinnacle. PCN groupings will be eligible to claim up to £950 per week of funding support</w:t>
      </w:r>
      <w:r>
        <w:rPr>
          <w:color w:val="000000"/>
          <w:sz w:val="20"/>
          <w:szCs w:val="20"/>
        </w:rPr>
        <w:t xml:space="preserve"> and further details as to how to claim this will be circulated once available.</w:t>
      </w:r>
    </w:p>
    <w:p w14:paraId="3862314A" w14:textId="77777777" w:rsidR="00EF6E32" w:rsidRDefault="00EF6E32" w:rsidP="00EF6E32">
      <w:pPr>
        <w:jc w:val="both"/>
        <w:rPr>
          <w:rStyle w:val="Strong"/>
          <w:rFonts w:cstheme="minorHAnsi"/>
          <w:color w:val="030303"/>
          <w:position w:val="17"/>
        </w:rPr>
      </w:pPr>
    </w:p>
    <w:p w14:paraId="3F308C28" w14:textId="1387CD27" w:rsidR="00EF6E32" w:rsidRDefault="00E9309C" w:rsidP="00EF6E3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theme="minorHAnsi"/>
          <w:b/>
          <w:bCs/>
          <w:sz w:val="20"/>
          <w:szCs w:val="20"/>
        </w:rPr>
      </w:pPr>
      <w:r>
        <w:rPr>
          <w:rFonts w:cstheme="minorHAnsi"/>
          <w:b/>
          <w:bCs/>
          <w:sz w:val="20"/>
          <w:szCs w:val="20"/>
        </w:rPr>
        <w:t>8</w:t>
      </w:r>
      <w:r w:rsidR="00EF6E32">
        <w:rPr>
          <w:rFonts w:cstheme="minorHAnsi"/>
          <w:b/>
          <w:bCs/>
          <w:sz w:val="20"/>
          <w:szCs w:val="20"/>
        </w:rPr>
        <w:t>.</w:t>
      </w:r>
      <w:r w:rsidR="00EF6E32">
        <w:rPr>
          <w:rFonts w:cstheme="minorHAnsi"/>
          <w:b/>
          <w:bCs/>
          <w:sz w:val="20"/>
          <w:szCs w:val="20"/>
        </w:rPr>
        <w:tab/>
      </w:r>
      <w:bookmarkStart w:id="8" w:name="Mark_8"/>
      <w:r w:rsidR="00EF6E32">
        <w:rPr>
          <w:rFonts w:cstheme="minorHAnsi"/>
          <w:b/>
          <w:bCs/>
          <w:sz w:val="20"/>
          <w:szCs w:val="20"/>
        </w:rPr>
        <w:t xml:space="preserve">NHSE National Workforce Supply </w:t>
      </w:r>
      <w:bookmarkEnd w:id="8"/>
    </w:p>
    <w:p w14:paraId="447DB2DF" w14:textId="77777777" w:rsidR="00EF6E32" w:rsidRPr="004D3383" w:rsidRDefault="00EF6E32" w:rsidP="00EF6E3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4D3383">
        <w:rPr>
          <w:color w:val="000000"/>
          <w:sz w:val="20"/>
          <w:szCs w:val="20"/>
        </w:rPr>
        <w:t xml:space="preserve">NHSE/I/has also published guidance on </w:t>
      </w:r>
      <w:hyperlink r:id="rId17" w:history="1">
        <w:r w:rsidRPr="004D3383">
          <w:rPr>
            <w:rStyle w:val="Hyperlink"/>
            <w:sz w:val="20"/>
            <w:szCs w:val="20"/>
          </w:rPr>
          <w:t>Access to National Workforce Supply Routes for Primary Care Network (PCN) Groupings</w:t>
        </w:r>
      </w:hyperlink>
      <w:r w:rsidRPr="004D3383">
        <w:rPr>
          <w:color w:val="0563C1"/>
          <w:sz w:val="20"/>
          <w:szCs w:val="20"/>
          <w:u w:val="single"/>
        </w:rPr>
        <w:t>.</w:t>
      </w:r>
      <w:r w:rsidRPr="004D3383">
        <w:rPr>
          <w:color w:val="000000"/>
          <w:sz w:val="20"/>
          <w:szCs w:val="20"/>
        </w:rPr>
        <w:t xml:space="preserve"> All NHSE/I guidance for primary care about the COVID-19 vaccination programme is available </w:t>
      </w:r>
      <w:hyperlink r:id="rId18" w:history="1">
        <w:r w:rsidRPr="004D3383">
          <w:rPr>
            <w:rStyle w:val="Hyperlink"/>
            <w:sz w:val="20"/>
            <w:szCs w:val="20"/>
          </w:rPr>
          <w:t> here</w:t>
        </w:r>
      </w:hyperlink>
      <w:r w:rsidRPr="004D3383">
        <w:rPr>
          <w:color w:val="0563C1"/>
          <w:sz w:val="20"/>
          <w:szCs w:val="20"/>
          <w:u w:val="single"/>
        </w:rPr>
        <w:t> </w:t>
      </w:r>
    </w:p>
    <w:p w14:paraId="15866519" w14:textId="4DF2B02C" w:rsidR="00393829" w:rsidRDefault="00393829" w:rsidP="00EF6E32">
      <w:pPr>
        <w:pStyle w:val="NormalWeb"/>
        <w:spacing w:before="300" w:beforeAutospacing="0" w:after="0" w:afterAutospacing="0" w:line="315" w:lineRule="atLeast"/>
        <w:jc w:val="both"/>
        <w:textAlignment w:val="center"/>
      </w:pPr>
    </w:p>
    <w:p w14:paraId="28EF062E" w14:textId="240262F3" w:rsidR="00EF6E32" w:rsidRPr="004D3383" w:rsidRDefault="00E9309C" w:rsidP="00EF6E3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rPr>
          <w:rFonts w:cstheme="minorHAnsi"/>
          <w:b/>
          <w:bCs/>
          <w:color w:val="000000"/>
        </w:rPr>
      </w:pPr>
      <w:r w:rsidRPr="00E9309C">
        <w:rPr>
          <w:b/>
          <w:bCs/>
        </w:rPr>
        <w:t>9</w:t>
      </w:r>
      <w:r w:rsidR="00EF6E32" w:rsidRPr="00E9309C">
        <w:rPr>
          <w:b/>
          <w:bCs/>
        </w:rPr>
        <w:t>.</w:t>
      </w:r>
      <w:r w:rsidR="00EF6E32">
        <w:tab/>
      </w:r>
      <w:bookmarkStart w:id="9" w:name="Mark_9"/>
      <w:r w:rsidR="00EF6E32" w:rsidRPr="004D3383">
        <w:rPr>
          <w:rFonts w:cstheme="minorHAnsi"/>
          <w:b/>
          <w:bCs/>
          <w:color w:val="000000"/>
        </w:rPr>
        <w:t>COVID-19 vaccine and fertility</w:t>
      </w:r>
      <w:bookmarkEnd w:id="9"/>
    </w:p>
    <w:p w14:paraId="74CCEE92" w14:textId="77777777" w:rsidR="00EF6E32" w:rsidRPr="004D3383" w:rsidRDefault="00EF6E32" w:rsidP="00EF6E3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jc w:val="both"/>
        <w:rPr>
          <w:rFonts w:cstheme="minorHAnsi"/>
          <w:color w:val="000000"/>
          <w:sz w:val="20"/>
          <w:szCs w:val="20"/>
        </w:rPr>
      </w:pPr>
      <w:r w:rsidRPr="004D3383">
        <w:rPr>
          <w:rFonts w:cstheme="minorHAnsi"/>
          <w:color w:val="000000"/>
          <w:sz w:val="20"/>
          <w:szCs w:val="20"/>
        </w:rPr>
        <w:t xml:space="preserve">The Royal College of Obstetricians and Gynaecologists (RCOG) and the Royal College of Medicine have published a </w:t>
      </w:r>
      <w:hyperlink r:id="rId19" w:history="1">
        <w:r w:rsidRPr="004D3383">
          <w:rPr>
            <w:rStyle w:val="Hyperlink"/>
            <w:rFonts w:cstheme="minorHAnsi"/>
            <w:sz w:val="20"/>
            <w:szCs w:val="20"/>
          </w:rPr>
          <w:t>statement</w:t>
        </w:r>
      </w:hyperlink>
      <w:r w:rsidRPr="004D3383">
        <w:rPr>
          <w:rFonts w:cstheme="minorHAnsi"/>
          <w:color w:val="000000"/>
          <w:sz w:val="20"/>
          <w:szCs w:val="20"/>
        </w:rPr>
        <w:t xml:space="preserve"> responding to misinformation around COVID-19 vaccine and fertility. RCOG has also published </w:t>
      </w:r>
      <w:hyperlink r:id="rId20" w:history="1">
        <w:r w:rsidRPr="004D3383">
          <w:rPr>
            <w:rStyle w:val="Hyperlink"/>
            <w:rFonts w:cstheme="minorHAnsi"/>
            <w:sz w:val="20"/>
            <w:szCs w:val="20"/>
          </w:rPr>
          <w:t>information and advice for pregnant women about the COVID-19 vaccine</w:t>
        </w:r>
      </w:hyperlink>
      <w:r w:rsidRPr="004D3383">
        <w:rPr>
          <w:rFonts w:cstheme="minorHAnsi"/>
          <w:color w:val="000000"/>
          <w:sz w:val="20"/>
          <w:szCs w:val="20"/>
        </w:rPr>
        <w:t>, including an updated Q&amp;A section.  </w:t>
      </w:r>
    </w:p>
    <w:p w14:paraId="0D6F2FB4" w14:textId="7BAB019C" w:rsidR="003A77C8" w:rsidRDefault="003A77C8" w:rsidP="003A77C8">
      <w:pPr>
        <w:rPr>
          <w:rStyle w:val="Strong"/>
          <w:rFonts w:cstheme="minorHAnsi"/>
          <w:color w:val="030303"/>
          <w:position w:val="17"/>
        </w:rPr>
      </w:pPr>
    </w:p>
    <w:p w14:paraId="1E0C6250" w14:textId="1693BD42" w:rsidR="003A77C8" w:rsidRDefault="00E9309C" w:rsidP="003A77C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000000"/>
        </w:rPr>
      </w:pPr>
      <w:r>
        <w:rPr>
          <w:b/>
          <w:bCs/>
          <w:color w:val="000000"/>
        </w:rPr>
        <w:t>10</w:t>
      </w:r>
      <w:r w:rsidR="003A77C8">
        <w:rPr>
          <w:b/>
          <w:bCs/>
          <w:color w:val="000000"/>
        </w:rPr>
        <w:t>.</w:t>
      </w:r>
      <w:r w:rsidR="003A77C8">
        <w:rPr>
          <w:b/>
          <w:bCs/>
          <w:color w:val="000000"/>
        </w:rPr>
        <w:tab/>
      </w:r>
      <w:bookmarkStart w:id="10" w:name="Mark_10"/>
      <w:r w:rsidR="003A77C8">
        <w:rPr>
          <w:b/>
          <w:bCs/>
          <w:color w:val="000000"/>
        </w:rPr>
        <w:t>C</w:t>
      </w:r>
      <w:r>
        <w:rPr>
          <w:b/>
          <w:bCs/>
          <w:color w:val="000000"/>
        </w:rPr>
        <w:t xml:space="preserve">OVID-19 </w:t>
      </w:r>
      <w:r w:rsidR="003A77C8">
        <w:rPr>
          <w:b/>
          <w:bCs/>
          <w:color w:val="000000"/>
        </w:rPr>
        <w:t xml:space="preserve">vaccination figures </w:t>
      </w:r>
      <w:bookmarkEnd w:id="10"/>
    </w:p>
    <w:p w14:paraId="16D8EF23" w14:textId="30D0810F" w:rsidR="00F76452" w:rsidRPr="003A77C8" w:rsidRDefault="003A77C8" w:rsidP="003A77C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7A05C5">
        <w:rPr>
          <w:color w:val="000000"/>
          <w:sz w:val="20"/>
          <w:szCs w:val="20"/>
        </w:rPr>
        <w:t xml:space="preserve">Until now, weekly figures published by NHS England have contained information based on region and age group. Going forward, these figures will be supplemented by ethnicity and occupational data to understand vaccination uptake in high-risk groups (BAME, people living in deprived areas) </w:t>
      </w:r>
      <w:proofErr w:type="gramStart"/>
      <w:r w:rsidRPr="007A05C5">
        <w:rPr>
          <w:color w:val="000000"/>
          <w:sz w:val="20"/>
          <w:szCs w:val="20"/>
        </w:rPr>
        <w:t>in order to</w:t>
      </w:r>
      <w:proofErr w:type="gramEnd"/>
      <w:r w:rsidRPr="007A05C5">
        <w:rPr>
          <w:color w:val="000000"/>
          <w:sz w:val="20"/>
          <w:szCs w:val="20"/>
        </w:rPr>
        <w:t xml:space="preserve"> tackle health inequalities. Data according to site of administration, </w:t>
      </w:r>
      <w:proofErr w:type="gramStart"/>
      <w:r w:rsidRPr="007A05C5">
        <w:rPr>
          <w:color w:val="000000"/>
          <w:sz w:val="20"/>
          <w:szCs w:val="20"/>
        </w:rPr>
        <w:t>i.e.</w:t>
      </w:r>
      <w:proofErr w:type="gramEnd"/>
      <w:r w:rsidRPr="007A05C5">
        <w:rPr>
          <w:color w:val="000000"/>
          <w:sz w:val="20"/>
          <w:szCs w:val="20"/>
        </w:rPr>
        <w:t xml:space="preserve"> mass vaccination centre, hospitals hubs, GP practices are not yet published but </w:t>
      </w:r>
      <w:r>
        <w:rPr>
          <w:color w:val="000000"/>
          <w:sz w:val="20"/>
          <w:szCs w:val="20"/>
        </w:rPr>
        <w:t>the BMA</w:t>
      </w:r>
      <w:r w:rsidRPr="007A05C5">
        <w:rPr>
          <w:color w:val="000000"/>
          <w:sz w:val="20"/>
          <w:szCs w:val="20"/>
        </w:rPr>
        <w:t xml:space="preserve"> understand that in England over 70% of vaccinations are given by GP sites.  </w:t>
      </w:r>
    </w:p>
    <w:p w14:paraId="6044EFA6" w14:textId="1B5AE2B7" w:rsidR="00F76452" w:rsidRDefault="00F76452" w:rsidP="00AF1DEC"/>
    <w:p w14:paraId="4549026D" w14:textId="77777777" w:rsidR="00EB64DB" w:rsidRPr="008D3F6E" w:rsidRDefault="00EB64DB" w:rsidP="00AF1DEC"/>
    <w:p w14:paraId="6035EB27" w14:textId="77777777" w:rsidR="00AF1DEC" w:rsidRDefault="00AF1DEC" w:rsidP="00AF1DE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 xml:space="preserve">Please note that the LMC are unable to accept calls or hold communications with patients, we are GP representatives, and we would respectfully ask that Practices do not advise patients to contact </w:t>
      </w:r>
      <w:proofErr w:type="gramStart"/>
      <w:r>
        <w:rPr>
          <w:b/>
          <w:bCs/>
          <w:color w:val="FF0000"/>
        </w:rPr>
        <w:t>us</w:t>
      </w:r>
      <w:proofErr w:type="gramEnd"/>
      <w:r>
        <w:rPr>
          <w:b/>
          <w:bCs/>
          <w:color w:val="FF0000"/>
        </w:rPr>
        <w:t xml:space="preserve">  </w:t>
      </w:r>
    </w:p>
    <w:p w14:paraId="141F63A1" w14:textId="77777777" w:rsidR="00EB64DB" w:rsidRDefault="00EB64DB" w:rsidP="00AF1DEC">
      <w:pPr>
        <w:rPr>
          <w:b/>
          <w:bCs/>
          <w:u w:val="single"/>
        </w:rPr>
      </w:pPr>
    </w:p>
    <w:p w14:paraId="6E8D9921" w14:textId="4AE974C2" w:rsidR="00EB64DB" w:rsidRPr="00F76452" w:rsidRDefault="00AF1DEC" w:rsidP="00F7645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sidRPr="00B42CEB">
        <w:rPr>
          <w:b/>
          <w:bCs/>
        </w:rPr>
        <w:t>Please note our office contact times remain 10:00-</w:t>
      </w:r>
      <w:proofErr w:type="gramStart"/>
      <w:r w:rsidRPr="00B42CEB">
        <w:rPr>
          <w:b/>
          <w:bCs/>
        </w:rPr>
        <w:t>16:00  and</w:t>
      </w:r>
      <w:proofErr w:type="gramEnd"/>
      <w:r w:rsidRPr="00B42CEB">
        <w:rPr>
          <w:b/>
          <w:bCs/>
        </w:rPr>
        <w:t xml:space="preserve"> any queries on the day should be directed to </w:t>
      </w:r>
      <w:hyperlink r:id="rId21" w:history="1">
        <w:r w:rsidRPr="00B42CEB">
          <w:rPr>
            <w:rStyle w:val="Hyperlink"/>
            <w:b/>
            <w:bCs/>
            <w:u w:val="none"/>
          </w:rPr>
          <w:t>birmingham.lmc@nhs.net</w:t>
        </w:r>
      </w:hyperlink>
    </w:p>
    <w:p w14:paraId="363E40C0" w14:textId="77777777" w:rsidR="00F76452" w:rsidRDefault="00F76452" w:rsidP="00AF1DEC"/>
    <w:p w14:paraId="1088FA9D" w14:textId="77777777" w:rsidR="00AF1DEC" w:rsidRDefault="00AF1DEC" w:rsidP="00AF1DE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u w:val="single"/>
        </w:rPr>
      </w:pPr>
      <w:r w:rsidRPr="00AB0284">
        <w:rPr>
          <w:b/>
          <w:bCs/>
          <w:u w:val="single"/>
        </w:rPr>
        <w:t>Helpful Links:</w:t>
      </w:r>
    </w:p>
    <w:p w14:paraId="720324B6" w14:textId="77777777" w:rsidR="00AF1DEC" w:rsidRPr="00AB0284" w:rsidRDefault="00AF1DEC" w:rsidP="00531D80">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rPr>
          <w:b/>
          <w:bCs/>
          <w:u w:val="single"/>
        </w:rPr>
      </w:pPr>
    </w:p>
    <w:p w14:paraId="7DA4457C" w14:textId="77777777" w:rsidR="00AF1DEC" w:rsidRPr="00797412" w:rsidRDefault="00AF1DEC" w:rsidP="00531D80">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textAlignment w:val="center"/>
        <w:outlineLvl w:val="0"/>
        <w:rPr>
          <w:rFonts w:eastAsia="Times New Roman" w:cs="Helvetica"/>
          <w:color w:val="111111"/>
          <w:spacing w:val="6"/>
          <w:shd w:val="clear" w:color="auto" w:fill="FFFFFF"/>
          <w:lang w:eastAsia="en-GB"/>
        </w:rPr>
      </w:pPr>
      <w:r w:rsidRPr="00797412">
        <w:rPr>
          <w:rFonts w:eastAsia="Times New Roman" w:cs="Helvetica"/>
          <w:b/>
          <w:bCs/>
          <w:spacing w:val="6"/>
          <w:kern w:val="36"/>
          <w:lang w:eastAsia="en-GB"/>
        </w:rPr>
        <w:t xml:space="preserve">BMA COVID-19: toolkit for GPs and GP practices </w:t>
      </w:r>
      <w:hyperlink r:id="rId22" w:history="1">
        <w:r w:rsidRPr="00797412">
          <w:rPr>
            <w:color w:val="0000FF"/>
            <w:u w:val="single"/>
          </w:rPr>
          <w:t>https://www.bma.org.uk/advice-and-support/covid-19/gp-practices/covid-19-toolkit-for-gps-and-gp-practices</w:t>
        </w:r>
      </w:hyperlink>
      <w:r w:rsidRPr="00797412">
        <w:t xml:space="preserve"> </w:t>
      </w:r>
      <w:r w:rsidRPr="00797412">
        <w:rPr>
          <w:rFonts w:eastAsia="Times New Roman" w:cs="Helvetica"/>
          <w:color w:val="111111"/>
          <w:spacing w:val="6"/>
          <w:shd w:val="clear" w:color="auto" w:fill="FFFFFF"/>
          <w:lang w:eastAsia="en-GB"/>
        </w:rPr>
        <w:t>Comprehensive guidance for GPs, partners, and practice managers to manage employment and contractual issues and service provision during the coronavirus pandemic.</w:t>
      </w:r>
    </w:p>
    <w:p w14:paraId="220AB17E" w14:textId="77777777" w:rsidR="00AF1DEC" w:rsidRPr="00797412" w:rsidRDefault="00AF1DEC" w:rsidP="00531D80">
      <w:pPr>
        <w:pStyle w:val="Heading2"/>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before="0"/>
        <w:textAlignment w:val="baseline"/>
        <w:rPr>
          <w:rFonts w:asciiTheme="minorHAnsi" w:hAnsiTheme="minorHAnsi"/>
          <w:b/>
          <w:bCs/>
          <w:color w:val="auto"/>
          <w:sz w:val="22"/>
          <w:szCs w:val="22"/>
        </w:rPr>
      </w:pPr>
    </w:p>
    <w:p w14:paraId="0F47E39A" w14:textId="77777777" w:rsidR="00AF1DEC" w:rsidRPr="00797412" w:rsidRDefault="00AF1DEC" w:rsidP="00531D80">
      <w:pPr>
        <w:pStyle w:val="Heading2"/>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before="0"/>
        <w:textAlignment w:val="baseline"/>
        <w:rPr>
          <w:rFonts w:asciiTheme="minorHAnsi" w:eastAsia="Times New Roman" w:hAnsiTheme="minorHAnsi" w:cs="Arial"/>
          <w:color w:val="0B0C0C"/>
          <w:sz w:val="22"/>
          <w:szCs w:val="22"/>
          <w:lang w:eastAsia="en-GB"/>
        </w:rPr>
      </w:pPr>
      <w:r w:rsidRPr="00797412">
        <w:rPr>
          <w:rFonts w:asciiTheme="minorHAnsi" w:hAnsiTheme="minorHAnsi"/>
          <w:b/>
          <w:bCs/>
          <w:color w:val="auto"/>
          <w:sz w:val="22"/>
          <w:szCs w:val="22"/>
        </w:rPr>
        <w:t>GOVERNMENT WEBSITE:</w:t>
      </w:r>
      <w:r w:rsidRPr="00797412">
        <w:rPr>
          <w:color w:val="auto"/>
          <w:sz w:val="22"/>
          <w:szCs w:val="22"/>
        </w:rPr>
        <w:t xml:space="preserve"> </w:t>
      </w:r>
      <w:hyperlink r:id="rId23" w:history="1">
        <w:r w:rsidRPr="00797412">
          <w:rPr>
            <w:rStyle w:val="Hyperlink"/>
            <w:sz w:val="22"/>
            <w:szCs w:val="22"/>
          </w:rPr>
          <w:t>https://www.gov.uk/coronavirus</w:t>
        </w:r>
      </w:hyperlink>
      <w:r w:rsidRPr="00797412">
        <w:rPr>
          <w:color w:val="0000FF"/>
          <w:sz w:val="22"/>
          <w:szCs w:val="22"/>
        </w:rPr>
        <w:t xml:space="preserve"> </w:t>
      </w:r>
      <w:r w:rsidRPr="00797412">
        <w:rPr>
          <w:rFonts w:asciiTheme="minorHAnsi" w:hAnsiTheme="minorHAnsi"/>
          <w:color w:val="auto"/>
          <w:sz w:val="22"/>
          <w:szCs w:val="22"/>
        </w:rPr>
        <w:t>for r</w:t>
      </w:r>
      <w:r w:rsidRPr="00797412">
        <w:rPr>
          <w:rFonts w:asciiTheme="minorHAnsi" w:eastAsia="Times New Roman" w:hAnsiTheme="minorHAnsi" w:cs="Arial"/>
          <w:color w:val="0B0C0C"/>
          <w:sz w:val="22"/>
          <w:szCs w:val="22"/>
          <w:lang w:eastAsia="en-GB"/>
        </w:rPr>
        <w:t>ecent and upcoming changes</w:t>
      </w:r>
      <w:r>
        <w:rPr>
          <w:rFonts w:asciiTheme="minorHAnsi" w:eastAsia="Times New Roman" w:hAnsiTheme="minorHAnsi" w:cs="Arial"/>
          <w:color w:val="0B0C0C"/>
          <w:sz w:val="22"/>
          <w:szCs w:val="22"/>
          <w:lang w:eastAsia="en-GB"/>
        </w:rPr>
        <w:t xml:space="preserve">, </w:t>
      </w:r>
      <w:r w:rsidRPr="00797412">
        <w:rPr>
          <w:rFonts w:asciiTheme="minorHAnsi" w:eastAsia="Times New Roman" w:hAnsiTheme="minorHAnsi" w:cs="Arial"/>
          <w:color w:val="0B0C0C"/>
          <w:sz w:val="22"/>
          <w:szCs w:val="22"/>
          <w:lang w:eastAsia="en-GB"/>
        </w:rPr>
        <w:t>guidance &amp; support.</w:t>
      </w:r>
    </w:p>
    <w:p w14:paraId="53F34098" w14:textId="77777777" w:rsidR="00AF1DEC" w:rsidRPr="00797412" w:rsidRDefault="00AF1DEC" w:rsidP="00531D80">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rPr>
          <w:lang w:eastAsia="en-GB"/>
        </w:rPr>
      </w:pPr>
    </w:p>
    <w:p w14:paraId="3601E328" w14:textId="77777777" w:rsidR="00AF1DEC" w:rsidRDefault="00AF1DEC" w:rsidP="00531D80">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rPr>
          <w:rStyle w:val="Hyperlink"/>
        </w:rPr>
      </w:pPr>
      <w:r w:rsidRPr="00797412">
        <w:rPr>
          <w:b/>
          <w:bCs/>
        </w:rPr>
        <w:t>NHS ENGLAND:</w:t>
      </w:r>
      <w:r w:rsidRPr="00797412">
        <w:t xml:space="preserve"> </w:t>
      </w:r>
      <w:hyperlink r:id="rId24" w:history="1">
        <w:r w:rsidRPr="00797412">
          <w:rPr>
            <w:rStyle w:val="Hyperlink"/>
          </w:rPr>
          <w:t>https://www.england.nhs.uk/publication/implementing-phase-3-of-the-nhs-response-to-the-covid-19-pandemic/</w:t>
        </w:r>
      </w:hyperlink>
    </w:p>
    <w:p w14:paraId="25AB9674" w14:textId="77777777" w:rsidR="00FE1174" w:rsidRPr="00FE1174" w:rsidRDefault="00FE1174" w:rsidP="00FE1174"/>
    <w:sectPr w:rsidR="00FE1174" w:rsidRPr="00FE1174" w:rsidSect="00D072EA">
      <w:headerReference w:type="default" r:id="rId25"/>
      <w:footerReference w:type="default" r:id="rId26"/>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3F935" w14:textId="77777777" w:rsidR="00DA6C3C" w:rsidRDefault="00DA6C3C" w:rsidP="001B4E81">
      <w:pPr>
        <w:spacing w:after="0" w:line="240" w:lineRule="auto"/>
      </w:pPr>
      <w:r>
        <w:separator/>
      </w:r>
    </w:p>
  </w:endnote>
  <w:endnote w:type="continuationSeparator" w:id="0">
    <w:p w14:paraId="026A543D" w14:textId="77777777" w:rsidR="00DA6C3C" w:rsidRDefault="00DA6C3C"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1002AFF" w:usb1="C000E47F" w:usb2="0000002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FB593" w14:textId="754BD40A" w:rsidR="00424321" w:rsidRPr="00AF1DEC" w:rsidRDefault="00AF1DEC" w:rsidP="00AF1DEC">
    <w:pPr>
      <w:pStyle w:val="Footer"/>
    </w:pPr>
    <w:r w:rsidRPr="00E76065">
      <w:rPr>
        <w:rFonts w:eastAsiaTheme="minorEastAsia" w:cs="Calibri"/>
        <w:b/>
        <w:bCs/>
        <w:noProof/>
        <w:color w:val="202020"/>
        <w:sz w:val="16"/>
        <w:szCs w:val="16"/>
        <w:lang w:eastAsia="en-GB"/>
      </w:rPr>
      <w:t>As you will already appreciate Guidance is continually changing at a fast pace, therefore Birmingham LMC will be unable to update any links on a regular basis and would respectfully ask that any practice who wish to continue to use this information ensure that these links are updated and validated against the most recent advice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25B27" w14:textId="77777777" w:rsidR="00DA6C3C" w:rsidRDefault="00DA6C3C" w:rsidP="001B4E81">
      <w:pPr>
        <w:spacing w:after="0" w:line="240" w:lineRule="auto"/>
      </w:pPr>
      <w:r>
        <w:separator/>
      </w:r>
    </w:p>
  </w:footnote>
  <w:footnote w:type="continuationSeparator" w:id="0">
    <w:p w14:paraId="266CF205" w14:textId="77777777" w:rsidR="00DA6C3C" w:rsidRDefault="00DA6C3C"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720B6"/>
    <w:multiLevelType w:val="hybridMultilevel"/>
    <w:tmpl w:val="E28EE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91CF3"/>
    <w:multiLevelType w:val="hybridMultilevel"/>
    <w:tmpl w:val="812029F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247EF"/>
    <w:multiLevelType w:val="hybridMultilevel"/>
    <w:tmpl w:val="2AD0B424"/>
    <w:lvl w:ilvl="0" w:tplc="4746AF00">
      <w:start w:val="1"/>
      <w:numFmt w:val="decimal"/>
      <w:lvlText w:val="%1."/>
      <w:lvlJc w:val="left"/>
      <w:pPr>
        <w:ind w:left="720" w:hanging="360"/>
      </w:pPr>
      <w:rPr>
        <w:rFonts w:cs="Times New Roman"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FA2D8D"/>
    <w:multiLevelType w:val="hybridMultilevel"/>
    <w:tmpl w:val="38A68412"/>
    <w:lvl w:ilvl="0" w:tplc="741852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D13B7A"/>
    <w:multiLevelType w:val="hybridMultilevel"/>
    <w:tmpl w:val="8D00D01C"/>
    <w:lvl w:ilvl="0" w:tplc="2646B208">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C24CB2"/>
    <w:multiLevelType w:val="hybridMultilevel"/>
    <w:tmpl w:val="8EEC685E"/>
    <w:lvl w:ilvl="0" w:tplc="6B32CDD8">
      <w:start w:val="1"/>
      <w:numFmt w:val="decimal"/>
      <w:lvlText w:val="%1."/>
      <w:lvlJc w:val="left"/>
      <w:pPr>
        <w:ind w:left="720" w:hanging="360"/>
      </w:pPr>
      <w:rPr>
        <w:rFonts w:eastAsia="Calibri"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044FB3"/>
    <w:multiLevelType w:val="hybridMultilevel"/>
    <w:tmpl w:val="B5A89C0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93F1B"/>
    <w:multiLevelType w:val="hybridMultilevel"/>
    <w:tmpl w:val="3482E350"/>
    <w:lvl w:ilvl="0" w:tplc="0242F58A">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27387C"/>
    <w:multiLevelType w:val="hybridMultilevel"/>
    <w:tmpl w:val="36687C68"/>
    <w:lvl w:ilvl="0" w:tplc="003AFBA2">
      <w:start w:val="1"/>
      <w:numFmt w:val="decimal"/>
      <w:lvlText w:val="%1."/>
      <w:lvlJc w:val="left"/>
      <w:pPr>
        <w:ind w:left="720" w:hanging="360"/>
      </w:pPr>
      <w:rPr>
        <w:rFonts w:eastAsia="Calibri"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FF247F"/>
    <w:multiLevelType w:val="hybridMultilevel"/>
    <w:tmpl w:val="AF7A6CC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47A36"/>
    <w:multiLevelType w:val="hybridMultilevel"/>
    <w:tmpl w:val="C4DE1D9C"/>
    <w:lvl w:ilvl="0" w:tplc="D8F27E10">
      <w:start w:val="1"/>
      <w:numFmt w:val="decimal"/>
      <w:lvlText w:val="%1."/>
      <w:lvlJc w:val="left"/>
      <w:pPr>
        <w:ind w:left="1080" w:hanging="720"/>
      </w:pPr>
      <w:rPr>
        <w:rFonts w:hint="default"/>
        <w:color w:val="0563C1"/>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165568"/>
    <w:multiLevelType w:val="hybridMultilevel"/>
    <w:tmpl w:val="88F6AADE"/>
    <w:lvl w:ilvl="0" w:tplc="B734CF98">
      <w:start w:val="1"/>
      <w:numFmt w:val="decimal"/>
      <w:lvlText w:val="%1."/>
      <w:lvlJc w:val="left"/>
      <w:pPr>
        <w:ind w:left="720" w:hanging="360"/>
      </w:pPr>
      <w:rPr>
        <w:rFonts w:cs="Times New Roman"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C57BB2"/>
    <w:multiLevelType w:val="hybridMultilevel"/>
    <w:tmpl w:val="5E0E9606"/>
    <w:lvl w:ilvl="0" w:tplc="F9001E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585990"/>
    <w:multiLevelType w:val="hybridMultilevel"/>
    <w:tmpl w:val="D610D2AA"/>
    <w:lvl w:ilvl="0" w:tplc="14CC3788">
      <w:start w:val="1"/>
      <w:numFmt w:val="decimal"/>
      <w:lvlText w:val="%1."/>
      <w:lvlJc w:val="left"/>
      <w:pPr>
        <w:ind w:left="72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E653FB"/>
    <w:multiLevelType w:val="hybridMultilevel"/>
    <w:tmpl w:val="EE1E9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FF2071"/>
    <w:multiLevelType w:val="hybridMultilevel"/>
    <w:tmpl w:val="6A26AC1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1D57F4"/>
    <w:multiLevelType w:val="hybridMultilevel"/>
    <w:tmpl w:val="BC521E22"/>
    <w:lvl w:ilvl="0" w:tplc="CD78274A">
      <w:start w:val="1"/>
      <w:numFmt w:val="decimal"/>
      <w:lvlText w:val="%1."/>
      <w:lvlJc w:val="left"/>
      <w:pPr>
        <w:ind w:left="720" w:hanging="360"/>
      </w:pPr>
      <w:rPr>
        <w:rFonts w:cstheme="minorHAnsi" w:hint="default"/>
        <w:b/>
        <w:color w:val="20202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057318"/>
    <w:multiLevelType w:val="hybridMultilevel"/>
    <w:tmpl w:val="80A009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851271"/>
    <w:multiLevelType w:val="hybridMultilevel"/>
    <w:tmpl w:val="4E1C0F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CB2428"/>
    <w:multiLevelType w:val="hybridMultilevel"/>
    <w:tmpl w:val="B7FCB96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FD2352"/>
    <w:multiLevelType w:val="hybridMultilevel"/>
    <w:tmpl w:val="821E4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7F21FC"/>
    <w:multiLevelType w:val="hybridMultilevel"/>
    <w:tmpl w:val="FB626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03672E"/>
    <w:multiLevelType w:val="hybridMultilevel"/>
    <w:tmpl w:val="F7B6BB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9"/>
  </w:num>
  <w:num w:numId="4">
    <w:abstractNumId w:val="9"/>
  </w:num>
  <w:num w:numId="5">
    <w:abstractNumId w:val="17"/>
  </w:num>
  <w:num w:numId="6">
    <w:abstractNumId w:val="1"/>
  </w:num>
  <w:num w:numId="7">
    <w:abstractNumId w:val="14"/>
  </w:num>
  <w:num w:numId="8">
    <w:abstractNumId w:val="18"/>
  </w:num>
  <w:num w:numId="9">
    <w:abstractNumId w:val="10"/>
  </w:num>
  <w:num w:numId="10">
    <w:abstractNumId w:val="22"/>
  </w:num>
  <w:num w:numId="11">
    <w:abstractNumId w:val="16"/>
  </w:num>
  <w:num w:numId="12">
    <w:abstractNumId w:val="20"/>
  </w:num>
  <w:num w:numId="13">
    <w:abstractNumId w:val="21"/>
  </w:num>
  <w:num w:numId="14">
    <w:abstractNumId w:val="12"/>
  </w:num>
  <w:num w:numId="15">
    <w:abstractNumId w:val="0"/>
  </w:num>
  <w:num w:numId="16">
    <w:abstractNumId w:val="2"/>
  </w:num>
  <w:num w:numId="17">
    <w:abstractNumId w:val="11"/>
  </w:num>
  <w:num w:numId="18">
    <w:abstractNumId w:val="3"/>
  </w:num>
  <w:num w:numId="19">
    <w:abstractNumId w:val="13"/>
  </w:num>
  <w:num w:numId="20">
    <w:abstractNumId w:val="4"/>
  </w:num>
  <w:num w:numId="21">
    <w:abstractNumId w:val="7"/>
  </w:num>
  <w:num w:numId="22">
    <w:abstractNumId w:val="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B51"/>
    <w:rsid w:val="0000297C"/>
    <w:rsid w:val="00010C70"/>
    <w:rsid w:val="000525F3"/>
    <w:rsid w:val="00090C38"/>
    <w:rsid w:val="000B48EB"/>
    <w:rsid w:val="000C2FD6"/>
    <w:rsid w:val="000F0353"/>
    <w:rsid w:val="000F7B3E"/>
    <w:rsid w:val="0012701E"/>
    <w:rsid w:val="0014236A"/>
    <w:rsid w:val="00177EAB"/>
    <w:rsid w:val="00185027"/>
    <w:rsid w:val="001B002E"/>
    <w:rsid w:val="001B4E81"/>
    <w:rsid w:val="001E09D1"/>
    <w:rsid w:val="001F50DA"/>
    <w:rsid w:val="00222F72"/>
    <w:rsid w:val="00236B39"/>
    <w:rsid w:val="002507C3"/>
    <w:rsid w:val="00257079"/>
    <w:rsid w:val="00267854"/>
    <w:rsid w:val="0027009C"/>
    <w:rsid w:val="0028528B"/>
    <w:rsid w:val="00295018"/>
    <w:rsid w:val="002B0CD6"/>
    <w:rsid w:val="0030252B"/>
    <w:rsid w:val="00322467"/>
    <w:rsid w:val="00326A35"/>
    <w:rsid w:val="00327E09"/>
    <w:rsid w:val="00327F6D"/>
    <w:rsid w:val="003307E4"/>
    <w:rsid w:val="00334058"/>
    <w:rsid w:val="003731E2"/>
    <w:rsid w:val="00393829"/>
    <w:rsid w:val="00394044"/>
    <w:rsid w:val="003A2046"/>
    <w:rsid w:val="003A77C8"/>
    <w:rsid w:val="0042361F"/>
    <w:rsid w:val="00424321"/>
    <w:rsid w:val="004473AE"/>
    <w:rsid w:val="004525D2"/>
    <w:rsid w:val="00471CFB"/>
    <w:rsid w:val="004B5D50"/>
    <w:rsid w:val="004F02FF"/>
    <w:rsid w:val="004F7CC6"/>
    <w:rsid w:val="00531D80"/>
    <w:rsid w:val="00552E3F"/>
    <w:rsid w:val="0056264F"/>
    <w:rsid w:val="00584AE9"/>
    <w:rsid w:val="00594272"/>
    <w:rsid w:val="005F5155"/>
    <w:rsid w:val="00615375"/>
    <w:rsid w:val="00654AA4"/>
    <w:rsid w:val="00695059"/>
    <w:rsid w:val="006D030D"/>
    <w:rsid w:val="006D0B43"/>
    <w:rsid w:val="006D4E3F"/>
    <w:rsid w:val="006D742B"/>
    <w:rsid w:val="0076655F"/>
    <w:rsid w:val="0078159D"/>
    <w:rsid w:val="007F2282"/>
    <w:rsid w:val="007F5F4E"/>
    <w:rsid w:val="007F7396"/>
    <w:rsid w:val="00816E1F"/>
    <w:rsid w:val="00825276"/>
    <w:rsid w:val="0083104F"/>
    <w:rsid w:val="008508A4"/>
    <w:rsid w:val="00875A27"/>
    <w:rsid w:val="008855B8"/>
    <w:rsid w:val="008B5226"/>
    <w:rsid w:val="008C56EA"/>
    <w:rsid w:val="008D0A2E"/>
    <w:rsid w:val="008E369B"/>
    <w:rsid w:val="00906C87"/>
    <w:rsid w:val="00933287"/>
    <w:rsid w:val="0097290E"/>
    <w:rsid w:val="0098382C"/>
    <w:rsid w:val="0098389F"/>
    <w:rsid w:val="009A094B"/>
    <w:rsid w:val="009C67A9"/>
    <w:rsid w:val="009C6938"/>
    <w:rsid w:val="009D2E7D"/>
    <w:rsid w:val="009E4658"/>
    <w:rsid w:val="00A15186"/>
    <w:rsid w:val="00A40FF9"/>
    <w:rsid w:val="00A552F2"/>
    <w:rsid w:val="00A7150C"/>
    <w:rsid w:val="00A931FF"/>
    <w:rsid w:val="00AD0E2F"/>
    <w:rsid w:val="00AF1DEC"/>
    <w:rsid w:val="00B561F1"/>
    <w:rsid w:val="00B9088A"/>
    <w:rsid w:val="00BA4459"/>
    <w:rsid w:val="00BC4341"/>
    <w:rsid w:val="00C3130E"/>
    <w:rsid w:val="00C41F18"/>
    <w:rsid w:val="00C638FA"/>
    <w:rsid w:val="00C74A01"/>
    <w:rsid w:val="00C77C64"/>
    <w:rsid w:val="00C8624E"/>
    <w:rsid w:val="00C86677"/>
    <w:rsid w:val="00C93DBF"/>
    <w:rsid w:val="00CF4366"/>
    <w:rsid w:val="00CF6C14"/>
    <w:rsid w:val="00D072EA"/>
    <w:rsid w:val="00D4646D"/>
    <w:rsid w:val="00D72E12"/>
    <w:rsid w:val="00D7308E"/>
    <w:rsid w:val="00DA4ACC"/>
    <w:rsid w:val="00DA6C3C"/>
    <w:rsid w:val="00DB088B"/>
    <w:rsid w:val="00DB196B"/>
    <w:rsid w:val="00DE71A6"/>
    <w:rsid w:val="00DE7457"/>
    <w:rsid w:val="00DF0C23"/>
    <w:rsid w:val="00E1257D"/>
    <w:rsid w:val="00E1676C"/>
    <w:rsid w:val="00E25DBD"/>
    <w:rsid w:val="00E327DD"/>
    <w:rsid w:val="00E40AC3"/>
    <w:rsid w:val="00E62758"/>
    <w:rsid w:val="00E8766D"/>
    <w:rsid w:val="00E9309C"/>
    <w:rsid w:val="00EB64DB"/>
    <w:rsid w:val="00EE6841"/>
    <w:rsid w:val="00EE6876"/>
    <w:rsid w:val="00EF6E32"/>
    <w:rsid w:val="00F20872"/>
    <w:rsid w:val="00F537D1"/>
    <w:rsid w:val="00F727DA"/>
    <w:rsid w:val="00F76452"/>
    <w:rsid w:val="00F82C5D"/>
    <w:rsid w:val="00F94F4F"/>
    <w:rsid w:val="00FC06EF"/>
    <w:rsid w:val="00FC16A8"/>
    <w:rsid w:val="00FC1F7F"/>
    <w:rsid w:val="00FD2F1F"/>
    <w:rsid w:val="00FE1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F1D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character" w:customStyle="1" w:styleId="Heading2Char">
    <w:name w:val="Heading 2 Char"/>
    <w:basedOn w:val="DefaultParagraphFont"/>
    <w:link w:val="Heading2"/>
    <w:uiPriority w:val="9"/>
    <w:semiHidden/>
    <w:rsid w:val="00AF1DE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4473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F7B3E"/>
    <w:pPr>
      <w:spacing w:after="0" w:line="240" w:lineRule="auto"/>
    </w:pPr>
    <w:rPr>
      <w:rFonts w:ascii="Calibri" w:hAnsi="Calibri" w:cs="Times New Roman"/>
    </w:rPr>
  </w:style>
  <w:style w:type="paragraph" w:customStyle="1" w:styleId="xmsonormal">
    <w:name w:val="xmsonormal"/>
    <w:basedOn w:val="Normal"/>
    <w:rsid w:val="00906C87"/>
    <w:pPr>
      <w:spacing w:after="0" w:line="240" w:lineRule="auto"/>
    </w:pPr>
    <w:rPr>
      <w:rFonts w:ascii="Calibri" w:hAnsi="Calibri" w:cs="Times New Roman"/>
      <w:lang w:eastAsia="en-GB"/>
    </w:rPr>
  </w:style>
  <w:style w:type="character" w:styleId="Strong">
    <w:name w:val="Strong"/>
    <w:basedOn w:val="DefaultParagraphFont"/>
    <w:uiPriority w:val="22"/>
    <w:qFormat/>
    <w:rsid w:val="00393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781729">
      <w:bodyDiv w:val="1"/>
      <w:marLeft w:val="0"/>
      <w:marRight w:val="0"/>
      <w:marTop w:val="0"/>
      <w:marBottom w:val="0"/>
      <w:divBdr>
        <w:top w:val="none" w:sz="0" w:space="0" w:color="auto"/>
        <w:left w:val="none" w:sz="0" w:space="0" w:color="auto"/>
        <w:bottom w:val="none" w:sz="0" w:space="0" w:color="auto"/>
        <w:right w:val="none" w:sz="0" w:space="0" w:color="auto"/>
      </w:divBdr>
    </w:div>
    <w:div w:id="569582925">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77003969">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600987787">
      <w:bodyDiv w:val="1"/>
      <w:marLeft w:val="0"/>
      <w:marRight w:val="0"/>
      <w:marTop w:val="0"/>
      <w:marBottom w:val="0"/>
      <w:divBdr>
        <w:top w:val="none" w:sz="0" w:space="0" w:color="auto"/>
        <w:left w:val="none" w:sz="0" w:space="0" w:color="auto"/>
        <w:bottom w:val="none" w:sz="0" w:space="0" w:color="auto"/>
        <w:right w:val="none" w:sz="0" w:space="0" w:color="auto"/>
      </w:divBdr>
    </w:div>
    <w:div w:id="170721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coronavirus/publication/mutual-aid-and-the-transfer-of-covid-19-vaccines-between-hospital-hubs-vaccination-centres-and-local-vaccination-services/" TargetMode="External"/><Relationship Id="rId18" Type="http://schemas.openxmlformats.org/officeDocument/2006/relationships/hyperlink" Target="https://www.england.nhs.uk/coronavirus/covid-19-vaccination-programme/primary-care-guidanc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birmingham.lmc@nhs.net" TargetMode="External"/><Relationship Id="rId7" Type="http://schemas.openxmlformats.org/officeDocument/2006/relationships/settings" Target="settings.xml"/><Relationship Id="rId12" Type="http://schemas.openxmlformats.org/officeDocument/2006/relationships/hyperlink" Target="https://www.gov.uk/government/news/covid-19-vaccines-rolled-out-to-people-aged-70-years-and-over-from-today" TargetMode="External"/><Relationship Id="rId17" Type="http://schemas.openxmlformats.org/officeDocument/2006/relationships/hyperlink" Target="https://www.england.nhs.uk/coronavirus/publication/access-to-national-workforce-supply-routes-for-primary-care-network-pcn-grouping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orms.office.com/Pages/ResponsePage.aspx?id=vo5Ev1_m5kCeMTP9qkEogIsZgMv0QnBJvSy62kiuKdBUNjNWMDNFRlMyRkVTVFpOOURFN0s3WjhVMy4u" TargetMode="External"/><Relationship Id="rId20" Type="http://schemas.openxmlformats.org/officeDocument/2006/relationships/hyperlink" Target="https://www.rcog.org.uk/en/guidelines-research-services/guidelines/coronavirus-pregnancy/covid-19-virus-infection-and-pregnan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hs.us5.list-manage.com/track/click?u=fc496e37a02fff5979483df7e&amp;id=5b0a284910&amp;e=2b1de24076" TargetMode="External"/><Relationship Id="rId24" Type="http://schemas.openxmlformats.org/officeDocument/2006/relationships/hyperlink" Target="https://www.england.nhs.uk/publication/implementing-phase-3-of-the-nhs-response-to-the-covid-19-pandemic/" TargetMode="External"/><Relationship Id="rId5" Type="http://schemas.openxmlformats.org/officeDocument/2006/relationships/numbering" Target="numbering.xml"/><Relationship Id="rId15" Type="http://schemas.openxmlformats.org/officeDocument/2006/relationships/hyperlink" Target="https://www.bma.org.uk/advice-and-support/covid-19/vaccines/covid-19-prioritising-vaccination-of-healthcare-workers" TargetMode="External"/><Relationship Id="rId23" Type="http://schemas.openxmlformats.org/officeDocument/2006/relationships/hyperlink" Target="https://www.gov.uk/coronaviru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cog.org.uk/en/news/RCOG-and-RCM-respond-to-misinformation-around-Covid-19-vaccine-and-fert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coronavirus/publication/vaccinating-frontline-health-and-social-care-workers/" TargetMode="External"/><Relationship Id="rId22" Type="http://schemas.openxmlformats.org/officeDocument/2006/relationships/hyperlink" Target="https://www.bma.org.uk/advice-and-support/covid-19/gp-practices/covid-19-toolkit-for-gps-and-gp-practic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0" ma:contentTypeDescription="Create a new document." ma:contentTypeScope="" ma:versionID="d62ef4803e0004c08ec6002638139d1f">
  <xsd:schema xmlns:xsd="http://www.w3.org/2001/XMLSchema" xmlns:xs="http://www.w3.org/2001/XMLSchema" xmlns:p="http://schemas.microsoft.com/office/2006/metadata/properties" xmlns:ns2="69cd0928-9a77-479c-a3b1-4e21cbd99e9f" targetNamespace="http://schemas.microsoft.com/office/2006/metadata/properties" ma:root="true" ma:fieldsID="e7eca9b3391a59dc6f1659c05214d089" ns2:_="">
    <xsd:import namespace="69cd0928-9a77-479c-a3b1-4e21cbd99e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4.xml><?xml version="1.0" encoding="utf-8"?>
<ds:datastoreItem xmlns:ds="http://schemas.openxmlformats.org/officeDocument/2006/customXml" ds:itemID="{C3720CC2-90F5-4764-B331-18B3D6F5B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Jenni Downes</cp:lastModifiedBy>
  <cp:revision>5</cp:revision>
  <dcterms:created xsi:type="dcterms:W3CDTF">2021-02-02T13:01:00Z</dcterms:created>
  <dcterms:modified xsi:type="dcterms:W3CDTF">2021-02-02T16:09:00Z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ies>
</file>