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01AA05BB" w14:textId="06BF24EA" w:rsidR="00FD2F1F" w:rsidRDefault="001B4E81" w:rsidP="00AF1DEC">
      <w:pPr>
        <w:jc w:val="center"/>
        <w:rPr>
          <w:b/>
          <w:bCs/>
          <w:i/>
          <w:iCs/>
          <w:color w:val="4472C4" w:themeColor="accent1"/>
          <w:sz w:val="32"/>
          <w:szCs w:val="32"/>
        </w:rPr>
      </w:pPr>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44128FE0"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A15186">
                              <w:rPr>
                                <w:b/>
                                <w:bCs/>
                                <w:i/>
                                <w:iCs/>
                                <w:color w:val="4472C4" w:themeColor="accent1"/>
                                <w:sz w:val="44"/>
                                <w:szCs w:val="44"/>
                              </w:rPr>
                              <w:t>7</w:t>
                            </w:r>
                            <w:r w:rsidR="00A15186" w:rsidRPr="00A15186">
                              <w:rPr>
                                <w:b/>
                                <w:bCs/>
                                <w:i/>
                                <w:iCs/>
                                <w:color w:val="4472C4" w:themeColor="accent1"/>
                                <w:sz w:val="44"/>
                                <w:szCs w:val="44"/>
                                <w:vertAlign w:val="superscript"/>
                              </w:rPr>
                              <w:t>th</w:t>
                            </w:r>
                            <w:r w:rsidR="00A15186">
                              <w:rPr>
                                <w:b/>
                                <w:bCs/>
                                <w:i/>
                                <w:iCs/>
                                <w:color w:val="4472C4" w:themeColor="accent1"/>
                                <w:sz w:val="44"/>
                                <w:szCs w:val="44"/>
                              </w:rPr>
                              <w:t xml:space="preserve">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left:0;text-align:left;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44128FE0"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A15186">
                        <w:rPr>
                          <w:b/>
                          <w:bCs/>
                          <w:i/>
                          <w:iCs/>
                          <w:color w:val="4472C4" w:themeColor="accent1"/>
                          <w:sz w:val="44"/>
                          <w:szCs w:val="44"/>
                        </w:rPr>
                        <w:t>7</w:t>
                      </w:r>
                      <w:r w:rsidR="00A15186" w:rsidRPr="00A15186">
                        <w:rPr>
                          <w:b/>
                          <w:bCs/>
                          <w:i/>
                          <w:iCs/>
                          <w:color w:val="4472C4" w:themeColor="accent1"/>
                          <w:sz w:val="44"/>
                          <w:szCs w:val="44"/>
                          <w:vertAlign w:val="superscript"/>
                        </w:rPr>
                        <w:t>th</w:t>
                      </w:r>
                      <w:r w:rsidR="00A15186">
                        <w:rPr>
                          <w:b/>
                          <w:bCs/>
                          <w:i/>
                          <w:iCs/>
                          <w:color w:val="4472C4" w:themeColor="accent1"/>
                          <w:sz w:val="44"/>
                          <w:szCs w:val="44"/>
                        </w:rPr>
                        <w:t xml:space="preserve"> January 2021</w:t>
                      </w:r>
                    </w:p>
                  </w:txbxContent>
                </v:textbox>
                <w10:wrap type="topAndBottom" anchorx="page"/>
              </v:shape>
            </w:pict>
          </mc:Fallback>
        </mc:AlternateContent>
      </w:r>
      <w:r w:rsidR="00AF1DEC">
        <w:rPr>
          <w:b/>
          <w:bCs/>
          <w:i/>
          <w:iCs/>
          <w:color w:val="4472C4" w:themeColor="accent1"/>
          <w:sz w:val="32"/>
          <w:szCs w:val="32"/>
        </w:rPr>
        <w:t>E</w:t>
      </w:r>
      <w:r w:rsidR="00AF1DEC" w:rsidRPr="003444A3">
        <w:rPr>
          <w:b/>
          <w:bCs/>
          <w:i/>
          <w:iCs/>
          <w:color w:val="4472C4" w:themeColor="accent1"/>
          <w:sz w:val="32"/>
          <w:szCs w:val="32"/>
        </w:rPr>
        <w:t>XTRAORDINARY COVID-19 UPDATE</w:t>
      </w:r>
    </w:p>
    <w:p w14:paraId="6DF7E79E" w14:textId="77777777" w:rsidR="0014236A" w:rsidRDefault="0014236A" w:rsidP="00AF1DEC">
      <w:pPr>
        <w:jc w:val="center"/>
      </w:pPr>
    </w:p>
    <w:p w14:paraId="696330D1" w14:textId="44AD3995" w:rsidR="00C86677" w:rsidRPr="004F02FF" w:rsidRDefault="00EE6876" w:rsidP="00090C38">
      <w:pPr>
        <w:pStyle w:val="ListParagraph"/>
        <w:numPr>
          <w:ilvl w:val="0"/>
          <w:numId w:val="8"/>
        </w:numPr>
      </w:pPr>
      <w:hyperlink w:anchor="mark_1" w:history="1">
        <w:r w:rsidR="004F02FF" w:rsidRPr="00E25DBD">
          <w:rPr>
            <w:rStyle w:val="Hyperlink"/>
            <w:b/>
            <w:bCs/>
          </w:rPr>
          <w:t>COVID-19 Vaccination Standard operating Procedure</w:t>
        </w:r>
      </w:hyperlink>
    </w:p>
    <w:p w14:paraId="160AA67F" w14:textId="6F065D3A" w:rsidR="00E8766D" w:rsidRPr="00E8766D" w:rsidRDefault="00EE6876" w:rsidP="00E8766D">
      <w:pPr>
        <w:pStyle w:val="ListParagraph"/>
        <w:numPr>
          <w:ilvl w:val="0"/>
          <w:numId w:val="8"/>
        </w:numPr>
        <w:spacing w:after="0" w:line="315" w:lineRule="atLeast"/>
        <w:ind w:left="714" w:hanging="357"/>
        <w:textAlignment w:val="center"/>
        <w:rPr>
          <w:rFonts w:cstheme="minorHAnsi"/>
          <w:b/>
          <w:bCs/>
          <w:color w:val="030303"/>
          <w:position w:val="17"/>
          <w:lang w:eastAsia="en-GB"/>
        </w:rPr>
      </w:pPr>
      <w:hyperlink w:anchor="mark_2" w:history="1">
        <w:r w:rsidR="00E8766D" w:rsidRPr="00E25DBD">
          <w:rPr>
            <w:rStyle w:val="Hyperlink"/>
            <w:rFonts w:cstheme="minorHAnsi"/>
            <w:b/>
            <w:bCs/>
            <w:position w:val="17"/>
            <w:lang w:eastAsia="en-GB"/>
          </w:rPr>
          <w:t>Patient Specific Direction (PSD) for the administration of the Oxford/AstraZeneca vaccine</w:t>
        </w:r>
      </w:hyperlink>
    </w:p>
    <w:p w14:paraId="7CE9E53A" w14:textId="32481E90" w:rsidR="00E8766D" w:rsidRPr="00327E09" w:rsidRDefault="00EE6876" w:rsidP="00E8766D">
      <w:pPr>
        <w:pStyle w:val="NoSpacing"/>
        <w:numPr>
          <w:ilvl w:val="0"/>
          <w:numId w:val="8"/>
        </w:numPr>
        <w:rPr>
          <w:rFonts w:asciiTheme="minorHAnsi" w:hAnsiTheme="minorHAnsi" w:cstheme="minorHAnsi"/>
          <w:b/>
          <w:bCs/>
          <w:sz w:val="20"/>
          <w:szCs w:val="20"/>
        </w:rPr>
      </w:pPr>
      <w:hyperlink w:anchor="mark_3" w:history="1">
        <w:r w:rsidR="00E8766D" w:rsidRPr="00E25DBD">
          <w:rPr>
            <w:rStyle w:val="Hyperlink"/>
            <w:b/>
            <w:bCs/>
          </w:rPr>
          <w:t>Patient Group Direction (PGD) for the administration of the Oxford/AstraZeneca vaccine</w:t>
        </w:r>
      </w:hyperlink>
    </w:p>
    <w:p w14:paraId="0BFC279E" w14:textId="6C392166" w:rsidR="00327E09" w:rsidRPr="00327E09" w:rsidRDefault="00EE6876" w:rsidP="00327E09">
      <w:pPr>
        <w:pStyle w:val="ListParagraph"/>
        <w:numPr>
          <w:ilvl w:val="0"/>
          <w:numId w:val="8"/>
        </w:numPr>
      </w:pPr>
      <w:hyperlink w:anchor="mark_4" w:history="1">
        <w:r w:rsidR="00327E09" w:rsidRPr="00E25DBD">
          <w:rPr>
            <w:rStyle w:val="Hyperlink"/>
            <w:b/>
            <w:bCs/>
          </w:rPr>
          <w:t xml:space="preserve">COVID-19 </w:t>
        </w:r>
        <w:r w:rsidR="00327E09" w:rsidRPr="00E25DBD">
          <w:rPr>
            <w:rStyle w:val="Hyperlink"/>
            <w:rFonts w:cstheme="minorHAnsi"/>
            <w:b/>
            <w:bCs/>
            <w:lang w:eastAsia="en-GB"/>
          </w:rPr>
          <w:t>Vaccination Payment in Care Homes – Reminder</w:t>
        </w:r>
      </w:hyperlink>
    </w:p>
    <w:p w14:paraId="38C39074" w14:textId="3573B854" w:rsidR="004F02FF" w:rsidRPr="00090C38" w:rsidRDefault="00EE6876" w:rsidP="00090C38">
      <w:pPr>
        <w:pStyle w:val="ListParagraph"/>
        <w:numPr>
          <w:ilvl w:val="0"/>
          <w:numId w:val="8"/>
        </w:numPr>
      </w:pPr>
      <w:hyperlink w:anchor="mark_5" w:history="1">
        <w:r w:rsidR="0000297C" w:rsidRPr="00E25DBD">
          <w:rPr>
            <w:rStyle w:val="Hyperlink"/>
            <w:b/>
            <w:bCs/>
          </w:rPr>
          <w:t>COVID-19 Response Levels Workload prioritisation for primary care</w:t>
        </w:r>
      </w:hyperlink>
    </w:p>
    <w:p w14:paraId="3087D5A7" w14:textId="3D104B91" w:rsidR="00090C38" w:rsidRPr="000B48EB" w:rsidRDefault="00EE6876" w:rsidP="00090C38">
      <w:pPr>
        <w:pStyle w:val="ListParagraph"/>
        <w:numPr>
          <w:ilvl w:val="0"/>
          <w:numId w:val="8"/>
        </w:numPr>
      </w:pPr>
      <w:hyperlink w:anchor="mark_6" w:history="1">
        <w:r w:rsidR="00A15186" w:rsidRPr="00E25DBD">
          <w:rPr>
            <w:rStyle w:val="Hyperlink"/>
            <w:rFonts w:eastAsia="Times New Roman" w:cstheme="minorHAnsi"/>
            <w:b/>
            <w:bCs/>
          </w:rPr>
          <w:t>COVID-19 Vaccination for Healthcare Professionals</w:t>
        </w:r>
      </w:hyperlink>
    </w:p>
    <w:p w14:paraId="4A9367D8" w14:textId="48C8CD0B" w:rsidR="00906C87" w:rsidRPr="0076655F" w:rsidRDefault="00EE6876" w:rsidP="00327E09">
      <w:pPr>
        <w:pStyle w:val="ListParagraph"/>
        <w:numPr>
          <w:ilvl w:val="0"/>
          <w:numId w:val="10"/>
        </w:numPr>
      </w:pPr>
      <w:hyperlink w:anchor="mark_7" w:history="1">
        <w:r w:rsidR="00FC16A8" w:rsidRPr="00E25DBD">
          <w:rPr>
            <w:rStyle w:val="Hyperlink"/>
            <w:b/>
            <w:bCs/>
          </w:rPr>
          <w:t>Government Shielding Guidanc</w:t>
        </w:r>
        <w:r w:rsidR="00327E09" w:rsidRPr="00E25DBD">
          <w:rPr>
            <w:rStyle w:val="Hyperlink"/>
            <w:b/>
            <w:bCs/>
          </w:rPr>
          <w:t>e</w:t>
        </w:r>
      </w:hyperlink>
    </w:p>
    <w:p w14:paraId="6968A026" w14:textId="583BE424" w:rsidR="0076655F" w:rsidRPr="00327E09" w:rsidRDefault="00EE6876" w:rsidP="00DB088B">
      <w:pPr>
        <w:pStyle w:val="ListParagraph"/>
        <w:numPr>
          <w:ilvl w:val="0"/>
          <w:numId w:val="10"/>
        </w:numPr>
        <w:rPr>
          <w:b/>
          <w:bCs/>
        </w:rPr>
      </w:pPr>
      <w:hyperlink w:anchor="mark_8" w:history="1">
        <w:r w:rsidR="00327E09" w:rsidRPr="00E25DBD">
          <w:rPr>
            <w:rStyle w:val="Hyperlink"/>
            <w:b/>
            <w:bCs/>
          </w:rPr>
          <w:t>Deployment of COVID-19 Vaccine Oxford/AstraZeneca for pharmacy teams</w:t>
        </w:r>
      </w:hyperlink>
    </w:p>
    <w:p w14:paraId="02E2D5AA" w14:textId="7D5393E6" w:rsidR="00327E09" w:rsidRPr="000F7B3E" w:rsidRDefault="00327E09" w:rsidP="00327E09">
      <w:pPr>
        <w:pStyle w:val="ListParagraph"/>
        <w:rPr>
          <w:rStyle w:val="Hyperlink"/>
          <w:color w:val="auto"/>
          <w:u w:val="none"/>
        </w:rPr>
      </w:pPr>
    </w:p>
    <w:p w14:paraId="61EC271C" w14:textId="77777777" w:rsidR="004F02FF" w:rsidRDefault="004F02FF" w:rsidP="004F02FF">
      <w:pPr>
        <w:pStyle w:val="x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rPr>
          <w:b/>
          <w:bCs/>
          <w:color w:val="000000"/>
          <w:lang w:eastAsia="en-US"/>
        </w:rPr>
      </w:pPr>
      <w:r>
        <w:rPr>
          <w:b/>
          <w:bCs/>
        </w:rPr>
        <w:t>1.</w:t>
      </w:r>
      <w:r w:rsidRPr="004473AE">
        <w:rPr>
          <w:b/>
          <w:bCs/>
        </w:rPr>
        <w:tab/>
      </w:r>
      <w:bookmarkStart w:id="1" w:name="mark_1"/>
      <w:r>
        <w:rPr>
          <w:b/>
          <w:bCs/>
          <w:color w:val="000000"/>
          <w:lang w:eastAsia="en-US"/>
        </w:rPr>
        <w:t>COVID-19 Vaccination Standard operating Procedure</w:t>
      </w:r>
      <w:bookmarkEnd w:id="1"/>
    </w:p>
    <w:p w14:paraId="3BA55A9A" w14:textId="4AD0E575" w:rsidR="004F02FF" w:rsidRPr="004F02FF" w:rsidRDefault="004F02FF" w:rsidP="004F02F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line="315" w:lineRule="atLeast"/>
        <w:textAlignment w:val="center"/>
        <w:rPr>
          <w:rFonts w:cstheme="minorHAnsi"/>
          <w:color w:val="030303"/>
          <w:position w:val="17"/>
          <w:sz w:val="20"/>
          <w:szCs w:val="20"/>
          <w:lang w:eastAsia="en-GB"/>
        </w:rPr>
      </w:pPr>
      <w:r w:rsidRPr="00C554A7">
        <w:rPr>
          <w:rFonts w:cstheme="minorHAnsi"/>
          <w:color w:val="030303"/>
          <w:position w:val="17"/>
          <w:sz w:val="20"/>
          <w:szCs w:val="20"/>
          <w:lang w:eastAsia="en-GB"/>
        </w:rPr>
        <w:t xml:space="preserve">In response to recent changes and </w:t>
      </w:r>
      <w:r w:rsidR="00531D80">
        <w:rPr>
          <w:rFonts w:cstheme="minorHAnsi"/>
          <w:color w:val="030303"/>
          <w:position w:val="17"/>
          <w:sz w:val="20"/>
          <w:szCs w:val="20"/>
          <w:lang w:eastAsia="en-GB"/>
        </w:rPr>
        <w:t>t</w:t>
      </w:r>
      <w:r w:rsidRPr="00C554A7">
        <w:rPr>
          <w:rFonts w:cstheme="minorHAnsi"/>
          <w:color w:val="030303"/>
          <w:position w:val="17"/>
          <w:sz w:val="20"/>
          <w:szCs w:val="20"/>
          <w:lang w:eastAsia="en-GB"/>
        </w:rPr>
        <w:t xml:space="preserve">he introduction of the new Oxford/AstraZeneca vaccine the </w:t>
      </w:r>
      <w:hyperlink r:id="rId11" w:history="1">
        <w:r w:rsidRPr="00C554A7">
          <w:rPr>
            <w:rStyle w:val="Hyperlink"/>
            <w:rFonts w:cstheme="minorHAnsi"/>
            <w:color w:val="005EB8"/>
            <w:position w:val="17"/>
            <w:sz w:val="20"/>
            <w:szCs w:val="20"/>
            <w:lang w:eastAsia="en-GB"/>
          </w:rPr>
          <w:t>Standard operating procedure: COVID-19 local vaccination services deployment in community settings</w:t>
        </w:r>
      </w:hyperlink>
      <w:r w:rsidRPr="00C554A7">
        <w:rPr>
          <w:rFonts w:cstheme="minorHAnsi"/>
          <w:color w:val="030303"/>
          <w:position w:val="17"/>
          <w:sz w:val="20"/>
          <w:szCs w:val="20"/>
          <w:lang w:eastAsia="en-GB"/>
        </w:rPr>
        <w:t xml:space="preserve"> has been updated.</w:t>
      </w:r>
    </w:p>
    <w:p w14:paraId="5E4849F6" w14:textId="7A347EF0" w:rsidR="004F02FF" w:rsidRDefault="004F02FF" w:rsidP="004F02FF">
      <w:pPr>
        <w:spacing w:line="315" w:lineRule="atLeast"/>
        <w:textAlignment w:val="center"/>
      </w:pPr>
    </w:p>
    <w:p w14:paraId="16BA0606" w14:textId="1D971C03" w:rsidR="004F02FF" w:rsidRPr="004F02FF" w:rsidRDefault="004F02FF" w:rsidP="004F02F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theme="minorHAnsi"/>
          <w:b/>
          <w:bCs/>
          <w:color w:val="030303"/>
          <w:position w:val="17"/>
          <w:lang w:eastAsia="en-GB"/>
        </w:rPr>
      </w:pPr>
      <w:r>
        <w:rPr>
          <w:rFonts w:cstheme="minorHAnsi"/>
          <w:b/>
          <w:bCs/>
          <w:color w:val="030303"/>
          <w:position w:val="17"/>
          <w:lang w:eastAsia="en-GB"/>
        </w:rPr>
        <w:t>2.</w:t>
      </w:r>
      <w:r>
        <w:rPr>
          <w:rFonts w:cstheme="minorHAnsi"/>
          <w:b/>
          <w:bCs/>
          <w:color w:val="030303"/>
          <w:position w:val="17"/>
          <w:lang w:eastAsia="en-GB"/>
        </w:rPr>
        <w:tab/>
      </w:r>
      <w:bookmarkStart w:id="2" w:name="mark_2"/>
      <w:r w:rsidRPr="00C554A7">
        <w:rPr>
          <w:rFonts w:cstheme="minorHAnsi"/>
          <w:b/>
          <w:bCs/>
          <w:color w:val="030303"/>
          <w:position w:val="17"/>
          <w:lang w:eastAsia="en-GB"/>
        </w:rPr>
        <w:t>Patient Specific Direction (PSD) for the administration of the Oxford/AstraZeneca vaccine</w:t>
      </w:r>
      <w:bookmarkEnd w:id="2"/>
    </w:p>
    <w:p w14:paraId="15784E47" w14:textId="435FA95F" w:rsidR="004F02FF" w:rsidRPr="00C554A7" w:rsidRDefault="004F02FF" w:rsidP="004F02F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jc w:val="both"/>
        <w:textAlignment w:val="center"/>
        <w:rPr>
          <w:rFonts w:cstheme="minorHAnsi"/>
          <w:color w:val="030303"/>
          <w:position w:val="17"/>
          <w:sz w:val="20"/>
          <w:szCs w:val="20"/>
          <w:lang w:eastAsia="en-GB"/>
        </w:rPr>
      </w:pPr>
      <w:r w:rsidRPr="00C554A7">
        <w:rPr>
          <w:rFonts w:cstheme="minorHAnsi"/>
          <w:color w:val="030303"/>
          <w:position w:val="17"/>
          <w:sz w:val="20"/>
          <w:szCs w:val="20"/>
          <w:lang w:eastAsia="en-GB"/>
        </w:rPr>
        <w:t xml:space="preserve">This </w:t>
      </w:r>
      <w:hyperlink r:id="rId12" w:history="1">
        <w:r w:rsidRPr="00C554A7">
          <w:rPr>
            <w:rStyle w:val="Hyperlink"/>
            <w:rFonts w:cstheme="minorHAnsi"/>
            <w:color w:val="005EB8"/>
            <w:position w:val="17"/>
            <w:sz w:val="20"/>
            <w:szCs w:val="20"/>
            <w:lang w:eastAsia="en-GB"/>
          </w:rPr>
          <w:t>Patient Safety Directive Document (PSD)</w:t>
        </w:r>
      </w:hyperlink>
      <w:r w:rsidRPr="00C554A7">
        <w:rPr>
          <w:rFonts w:cstheme="minorHAnsi"/>
          <w:color w:val="030303"/>
          <w:position w:val="17"/>
          <w:sz w:val="20"/>
          <w:szCs w:val="20"/>
          <w:lang w:eastAsia="en-GB"/>
        </w:rPr>
        <w:t xml:space="preserve"> is a key document to support the delivery and administration of the AZ vaccine from 4 January 2021. This document has been developed alongside PHE colleagues to ensure it is consistent with the guidance and is for all sites where the Oxford/AstraZeneca vaccine is being delivered and administered. Please note and use the PSD to be able to deliver the vaccine.</w:t>
      </w:r>
    </w:p>
    <w:p w14:paraId="43C69941" w14:textId="58FB590E" w:rsidR="00E8766D" w:rsidRDefault="00E8766D" w:rsidP="00E8766D">
      <w:pPr>
        <w:pStyle w:val="NoSpacing"/>
      </w:pPr>
    </w:p>
    <w:p w14:paraId="3D944FB8" w14:textId="77777777" w:rsidR="00E25DBD" w:rsidRDefault="00E25DBD" w:rsidP="00E8766D">
      <w:pPr>
        <w:pStyle w:val="NoSpacing"/>
      </w:pPr>
    </w:p>
    <w:p w14:paraId="18F55D4A" w14:textId="34F21873" w:rsidR="00E8766D" w:rsidRDefault="004F02FF" w:rsidP="00E8766D">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sidRPr="00E8766D">
        <w:rPr>
          <w:b/>
          <w:bCs/>
        </w:rPr>
        <w:t>3.</w:t>
      </w:r>
      <w:r>
        <w:tab/>
      </w:r>
      <w:bookmarkStart w:id="3" w:name="mark_3"/>
      <w:r w:rsidR="00E8766D" w:rsidRPr="005A2DC7">
        <w:rPr>
          <w:b/>
          <w:bCs/>
        </w:rPr>
        <w:t>Patient Group Direction (PGD) for the administration of the Oxford/AstraZeneca vaccine</w:t>
      </w:r>
      <w:bookmarkEnd w:id="3"/>
    </w:p>
    <w:p w14:paraId="46A0B258" w14:textId="77777777" w:rsidR="00E8766D" w:rsidRPr="005A2DC7" w:rsidRDefault="00E8766D" w:rsidP="00E8766D">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cstheme="minorHAnsi"/>
          <w:b/>
          <w:bCs/>
          <w:sz w:val="20"/>
          <w:szCs w:val="20"/>
        </w:rPr>
      </w:pPr>
    </w:p>
    <w:p w14:paraId="1A4D5FAD" w14:textId="4C828966" w:rsidR="00E8766D" w:rsidRDefault="00E8766D" w:rsidP="00E8766D">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cstheme="minorHAnsi"/>
          <w:sz w:val="20"/>
          <w:szCs w:val="20"/>
        </w:rPr>
      </w:pPr>
      <w:r>
        <w:rPr>
          <w:rFonts w:asciiTheme="minorHAnsi" w:hAnsiTheme="minorHAnsi" w:cstheme="minorHAnsi"/>
          <w:sz w:val="20"/>
          <w:szCs w:val="20"/>
        </w:rPr>
        <w:t>Please see the Link below to the Patient Group Direction (PGD) relating to the AstraZeneca vaccine which has been published by NHSE:</w:t>
      </w:r>
    </w:p>
    <w:p w14:paraId="255C2366" w14:textId="77777777" w:rsidR="00E8766D" w:rsidRDefault="00E8766D" w:rsidP="00E8766D">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cstheme="minorHAnsi"/>
          <w:sz w:val="20"/>
          <w:szCs w:val="20"/>
        </w:rPr>
      </w:pPr>
    </w:p>
    <w:p w14:paraId="5AC6D8B2" w14:textId="77777777" w:rsidR="00E8766D" w:rsidRDefault="00EE6876" w:rsidP="00E8766D">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hyperlink r:id="rId13" w:history="1">
        <w:r w:rsidR="00E8766D">
          <w:rPr>
            <w:rStyle w:val="Hyperlink"/>
          </w:rPr>
          <w:t>https://www.england.nhs.uk/coronavirus/publication/patient-group-direction-for-covid-19-vaccine-astrazeneca-chadox1-s-recombinant/</w:t>
        </w:r>
      </w:hyperlink>
    </w:p>
    <w:p w14:paraId="1B32B771" w14:textId="214535CD" w:rsidR="004F02FF" w:rsidRDefault="004F02FF" w:rsidP="00FC16A8"/>
    <w:p w14:paraId="6F626B01" w14:textId="2DB009FD" w:rsidR="00327E09" w:rsidRDefault="00327E09" w:rsidP="00FC16A8"/>
    <w:p w14:paraId="0F942004" w14:textId="77777777" w:rsidR="00327E09" w:rsidRDefault="00327E09" w:rsidP="00327E09">
      <w:pPr>
        <w:contextualSpacing/>
      </w:pPr>
    </w:p>
    <w:p w14:paraId="409CEF2D" w14:textId="77777777" w:rsidR="00327E09" w:rsidRPr="00F662DF" w:rsidRDefault="00327E09" w:rsidP="00531D80">
      <w:pPr>
        <w:pBdr>
          <w:top w:val="thinThickSmallGap" w:sz="24" w:space="1" w:color="2F5496" w:themeColor="accent1" w:themeShade="BF"/>
          <w:left w:val="thinThickSmallGap" w:sz="24" w:space="4" w:color="2F5496" w:themeColor="accent1" w:themeShade="BF"/>
          <w:bottom w:val="thickThinSmallGap" w:sz="24" w:space="19" w:color="2F5496" w:themeColor="accent1" w:themeShade="BF"/>
          <w:right w:val="thickThinSmallGap" w:sz="24" w:space="4" w:color="2F5496" w:themeColor="accent1" w:themeShade="BF"/>
        </w:pBdr>
        <w:shd w:val="clear" w:color="auto" w:fill="FFFFFF"/>
        <w:rPr>
          <w:rFonts w:cstheme="minorHAnsi"/>
          <w:b/>
          <w:bCs/>
          <w:color w:val="000000"/>
          <w:lang w:eastAsia="en-GB"/>
        </w:rPr>
      </w:pPr>
      <w:r>
        <w:rPr>
          <w:b/>
          <w:bCs/>
        </w:rPr>
        <w:t>4</w:t>
      </w:r>
      <w:r w:rsidRPr="00F662DF">
        <w:rPr>
          <w:b/>
          <w:bCs/>
        </w:rPr>
        <w:t>.</w:t>
      </w:r>
      <w:r w:rsidRPr="00F662DF">
        <w:rPr>
          <w:b/>
          <w:bCs/>
        </w:rPr>
        <w:tab/>
      </w:r>
      <w:bookmarkStart w:id="4" w:name="mark_4"/>
      <w:r w:rsidRPr="00F662DF">
        <w:rPr>
          <w:b/>
          <w:bCs/>
        </w:rPr>
        <w:t xml:space="preserve">COVID-19 </w:t>
      </w:r>
      <w:r>
        <w:rPr>
          <w:rFonts w:cstheme="minorHAnsi"/>
          <w:b/>
          <w:bCs/>
          <w:color w:val="000000"/>
          <w:lang w:eastAsia="en-GB"/>
        </w:rPr>
        <w:t>V</w:t>
      </w:r>
      <w:r w:rsidRPr="00F662DF">
        <w:rPr>
          <w:rFonts w:cstheme="minorHAnsi"/>
          <w:b/>
          <w:bCs/>
          <w:color w:val="000000"/>
          <w:lang w:eastAsia="en-GB"/>
        </w:rPr>
        <w:t>accination Payment in Care Homes – Reminder</w:t>
      </w:r>
      <w:bookmarkEnd w:id="4"/>
    </w:p>
    <w:p w14:paraId="5F907440" w14:textId="53144AB3" w:rsidR="00327E09" w:rsidRDefault="00327E09" w:rsidP="00531D80">
      <w:pPr>
        <w:pBdr>
          <w:top w:val="thinThickSmallGap" w:sz="24" w:space="1" w:color="2F5496" w:themeColor="accent1" w:themeShade="BF"/>
          <w:left w:val="thinThickSmallGap" w:sz="24" w:space="4" w:color="2F5496" w:themeColor="accent1" w:themeShade="BF"/>
          <w:bottom w:val="thickThinSmallGap" w:sz="24" w:space="19" w:color="2F5496" w:themeColor="accent1" w:themeShade="BF"/>
          <w:right w:val="thickThinSmallGap" w:sz="24" w:space="4" w:color="2F5496" w:themeColor="accent1" w:themeShade="BF"/>
        </w:pBdr>
        <w:shd w:val="clear" w:color="auto" w:fill="FFFFFF"/>
        <w:rPr>
          <w:rFonts w:cstheme="minorHAnsi"/>
          <w:color w:val="000000"/>
          <w:sz w:val="20"/>
          <w:szCs w:val="20"/>
          <w:lang w:eastAsia="en-GB"/>
        </w:rPr>
      </w:pPr>
      <w:r w:rsidRPr="00BF7591">
        <w:rPr>
          <w:rFonts w:cstheme="minorHAnsi"/>
          <w:color w:val="000000"/>
          <w:sz w:val="20"/>
          <w:szCs w:val="20"/>
          <w:lang w:eastAsia="en-GB"/>
        </w:rPr>
        <w:t>The additional £10 payment applies to both doses, when the first is given in January and has been backdated to 24 December.  The</w:t>
      </w:r>
      <w:r>
        <w:rPr>
          <w:rFonts w:cstheme="minorHAnsi"/>
          <w:color w:val="000000"/>
          <w:sz w:val="20"/>
          <w:szCs w:val="20"/>
          <w:lang w:eastAsia="en-GB"/>
        </w:rPr>
        <w:t xml:space="preserve">re is a </w:t>
      </w:r>
      <w:r w:rsidRPr="00BF7591">
        <w:rPr>
          <w:rFonts w:cstheme="minorHAnsi"/>
          <w:color w:val="000000"/>
          <w:sz w:val="20"/>
          <w:szCs w:val="20"/>
          <w:lang w:eastAsia="en-GB"/>
        </w:rPr>
        <w:t xml:space="preserve">plan to do a </w:t>
      </w:r>
      <w:r w:rsidR="00531D80" w:rsidRPr="00BF7591">
        <w:rPr>
          <w:rFonts w:cstheme="minorHAnsi"/>
          <w:color w:val="000000"/>
          <w:sz w:val="20"/>
          <w:szCs w:val="20"/>
          <w:lang w:eastAsia="en-GB"/>
        </w:rPr>
        <w:t>one-off</w:t>
      </w:r>
      <w:r w:rsidRPr="00BF7591">
        <w:rPr>
          <w:rFonts w:cstheme="minorHAnsi"/>
          <w:color w:val="000000"/>
          <w:sz w:val="20"/>
          <w:szCs w:val="20"/>
          <w:lang w:eastAsia="en-GB"/>
        </w:rPr>
        <w:t xml:space="preserve"> retrospective collection to capture vaccinations given between 14 December and 2 January.</w:t>
      </w:r>
      <w:r w:rsidRPr="00BF7591">
        <w:rPr>
          <w:rFonts w:cstheme="minorHAnsi"/>
          <w:color w:val="201F1E"/>
          <w:sz w:val="20"/>
          <w:szCs w:val="20"/>
          <w:shd w:val="clear" w:color="auto" w:fill="FFFFFF"/>
          <w:lang w:eastAsia="en-GB"/>
        </w:rPr>
        <w:t> </w:t>
      </w:r>
      <w:r w:rsidRPr="00BF7591">
        <w:rPr>
          <w:rFonts w:cstheme="minorHAnsi"/>
          <w:color w:val="000000"/>
          <w:sz w:val="20"/>
          <w:szCs w:val="20"/>
          <w:lang w:eastAsia="en-GB"/>
        </w:rPr>
        <w:t> </w:t>
      </w:r>
      <w:r>
        <w:rPr>
          <w:rFonts w:cstheme="minorHAnsi"/>
          <w:color w:val="000000"/>
          <w:sz w:val="20"/>
          <w:szCs w:val="20"/>
          <w:lang w:eastAsia="en-GB"/>
        </w:rPr>
        <w:t>Please see the information below received from Pinnacle:</w:t>
      </w:r>
    </w:p>
    <w:p w14:paraId="05733256" w14:textId="77777777" w:rsidR="00327E09" w:rsidRPr="00BF7591" w:rsidRDefault="00327E09" w:rsidP="00531D80">
      <w:pPr>
        <w:pBdr>
          <w:top w:val="thinThickSmallGap" w:sz="24" w:space="1" w:color="2F5496" w:themeColor="accent1" w:themeShade="BF"/>
          <w:left w:val="thinThickSmallGap" w:sz="24" w:space="4" w:color="2F5496" w:themeColor="accent1" w:themeShade="BF"/>
          <w:bottom w:val="thickThinSmallGap" w:sz="24" w:space="19" w:color="2F5496" w:themeColor="accent1" w:themeShade="BF"/>
          <w:right w:val="thickThinSmallGap" w:sz="24" w:space="4" w:color="2F5496" w:themeColor="accent1" w:themeShade="BF"/>
        </w:pBdr>
        <w:shd w:val="clear" w:color="auto" w:fill="FFFFFF"/>
        <w:rPr>
          <w:rFonts w:cstheme="minorHAnsi"/>
          <w:color w:val="201F1E"/>
          <w:sz w:val="20"/>
          <w:szCs w:val="20"/>
          <w:lang w:eastAsia="en-GB"/>
        </w:rPr>
      </w:pPr>
      <w:r w:rsidRPr="00BF7591">
        <w:rPr>
          <w:rFonts w:cstheme="minorHAnsi"/>
          <w:color w:val="646363"/>
          <w:sz w:val="20"/>
          <w:szCs w:val="20"/>
          <w:lang w:eastAsia="en-GB"/>
        </w:rPr>
        <w:t>Pinnacle have been asked to facilitate the immediate recording of the vaccination setting, in order to automate the payment of the care home additional payments </w:t>
      </w:r>
      <w:hyperlink r:id="rId14" w:tgtFrame="_blank" w:tooltip="announced on 31st December 2020 - https://www.england.nhs.uk/2020/12/gps-given-10-per-jab-boost-to-support-care-home-vaccination-drive/" w:history="1">
        <w:r w:rsidRPr="00BF7591">
          <w:rPr>
            <w:rStyle w:val="Hyperlink"/>
            <w:rFonts w:cstheme="minorHAnsi"/>
            <w:color w:val="0F6CB6"/>
            <w:sz w:val="20"/>
            <w:szCs w:val="20"/>
            <w:bdr w:val="none" w:sz="0" w:space="0" w:color="auto" w:frame="1"/>
            <w:lang w:eastAsia="en-GB"/>
          </w:rPr>
          <w:t>announced on 31st December 2020</w:t>
        </w:r>
      </w:hyperlink>
      <w:r w:rsidRPr="00BF7591">
        <w:rPr>
          <w:rFonts w:cstheme="minorHAnsi"/>
          <w:color w:val="646363"/>
          <w:sz w:val="20"/>
          <w:szCs w:val="20"/>
          <w:lang w:eastAsia="en-GB"/>
        </w:rPr>
        <w:t>.</w:t>
      </w:r>
      <w:r w:rsidRPr="00BF7591">
        <w:rPr>
          <w:rFonts w:cstheme="minorHAnsi"/>
          <w:color w:val="646363"/>
          <w:sz w:val="20"/>
          <w:szCs w:val="20"/>
          <w:lang w:eastAsia="en-GB"/>
        </w:rPr>
        <w:br/>
      </w:r>
      <w:r w:rsidRPr="00BF7591">
        <w:rPr>
          <w:rFonts w:cstheme="minorHAnsi"/>
          <w:color w:val="646363"/>
          <w:sz w:val="20"/>
          <w:szCs w:val="20"/>
          <w:lang w:eastAsia="en-GB"/>
        </w:rPr>
        <w:br/>
        <w:t>We have now implemented the changes required to start to record the information required.</w:t>
      </w:r>
      <w:r w:rsidRPr="00BF7591">
        <w:rPr>
          <w:rFonts w:cstheme="minorHAnsi"/>
          <w:color w:val="646363"/>
          <w:sz w:val="20"/>
          <w:szCs w:val="20"/>
          <w:lang w:eastAsia="en-GB"/>
        </w:rPr>
        <w:br/>
        <w:t>These changes are only visible in PCN/Community Pharmacy sites - mass vaccination centres are unaffected.</w:t>
      </w:r>
      <w:r w:rsidRPr="00BF7591">
        <w:rPr>
          <w:rFonts w:cstheme="minorHAnsi"/>
          <w:color w:val="646363"/>
          <w:sz w:val="20"/>
          <w:szCs w:val="20"/>
          <w:lang w:eastAsia="en-GB"/>
        </w:rPr>
        <w:br/>
      </w:r>
      <w:r w:rsidRPr="00BF7591">
        <w:rPr>
          <w:rFonts w:cstheme="minorHAnsi"/>
          <w:color w:val="646363"/>
          <w:sz w:val="20"/>
          <w:szCs w:val="20"/>
          <w:lang w:eastAsia="en-GB"/>
        </w:rPr>
        <w:br/>
      </w:r>
      <w:r w:rsidRPr="00BF7591">
        <w:rPr>
          <w:rFonts w:cstheme="minorHAnsi"/>
          <w:b/>
          <w:bCs/>
          <w:color w:val="646363"/>
          <w:sz w:val="20"/>
          <w:szCs w:val="20"/>
          <w:bdr w:val="none" w:sz="0" w:space="0" w:color="auto" w:frame="1"/>
          <w:lang w:eastAsia="en-GB"/>
        </w:rPr>
        <w:t>1. A new question, asking for the vaccination setting, has been added at the end of the patient demographics section.</w:t>
      </w:r>
      <w:r w:rsidRPr="00BF7591">
        <w:rPr>
          <w:rFonts w:cstheme="minorHAnsi"/>
          <w:color w:val="646363"/>
          <w:sz w:val="20"/>
          <w:szCs w:val="20"/>
          <w:lang w:eastAsia="en-GB"/>
        </w:rPr>
        <w:br/>
        <w:t>This asks whether the vaccination took place in a Vaccination Site or in a Care Home.</w:t>
      </w:r>
      <w:r w:rsidRPr="00BF7591">
        <w:rPr>
          <w:rFonts w:cstheme="minorHAnsi"/>
          <w:color w:val="646363"/>
          <w:sz w:val="20"/>
          <w:szCs w:val="20"/>
          <w:lang w:eastAsia="en-GB"/>
        </w:rPr>
        <w:br/>
        <w:t>The answer defaults to "Vaccination Site" as these are the majority of records and so for normal clinic operations, no change or entry needs to be made.</w:t>
      </w:r>
      <w:r w:rsidRPr="00BF7591">
        <w:rPr>
          <w:rFonts w:cstheme="minorHAnsi"/>
          <w:color w:val="646363"/>
          <w:sz w:val="20"/>
          <w:szCs w:val="20"/>
          <w:lang w:eastAsia="en-GB"/>
        </w:rPr>
        <w:br/>
      </w:r>
      <w:r w:rsidRPr="00BF7591">
        <w:rPr>
          <w:rFonts w:cstheme="minorHAnsi"/>
          <w:color w:val="646363"/>
          <w:sz w:val="20"/>
          <w:szCs w:val="20"/>
          <w:lang w:eastAsia="en-GB"/>
        </w:rPr>
        <w:br/>
      </w:r>
      <w:r w:rsidRPr="00BF7591">
        <w:rPr>
          <w:rFonts w:cstheme="minorHAnsi"/>
          <w:b/>
          <w:bCs/>
          <w:color w:val="646363"/>
          <w:sz w:val="20"/>
          <w:szCs w:val="20"/>
          <w:bdr w:val="none" w:sz="0" w:space="0" w:color="auto" w:frame="1"/>
          <w:lang w:eastAsia="en-GB"/>
        </w:rPr>
        <w:t>2. A new question, asking for the Care Home details, only appears if the Vaccination Setting is a Care Home</w:t>
      </w:r>
      <w:r w:rsidRPr="00BF7591">
        <w:rPr>
          <w:rFonts w:cstheme="minorHAnsi"/>
          <w:color w:val="646363"/>
          <w:sz w:val="20"/>
          <w:szCs w:val="20"/>
          <w:lang w:eastAsia="en-GB"/>
        </w:rPr>
        <w:br/>
        <w:t>This is an auto-complete entry - as you type the name, address or postcode of the care home, a selection will appear that you can choose from.</w:t>
      </w:r>
      <w:r w:rsidRPr="00BF7591">
        <w:rPr>
          <w:rFonts w:cstheme="minorHAnsi"/>
          <w:color w:val="646363"/>
          <w:sz w:val="20"/>
          <w:szCs w:val="20"/>
          <w:lang w:eastAsia="en-GB"/>
        </w:rPr>
        <w:br/>
        <w:t>The platform has been updated with all currently CQC-registered long-stay care home or long-stay residential facilities.</w:t>
      </w:r>
      <w:r w:rsidRPr="00BF7591">
        <w:rPr>
          <w:rFonts w:cstheme="minorHAnsi"/>
          <w:color w:val="646363"/>
          <w:sz w:val="20"/>
          <w:szCs w:val="20"/>
          <w:lang w:eastAsia="en-GB"/>
        </w:rPr>
        <w:br/>
        <w:t>Only staff or residents in CQC-registered homes are selectable.</w:t>
      </w:r>
      <w:r w:rsidRPr="00BF7591">
        <w:rPr>
          <w:rFonts w:cstheme="minorHAnsi"/>
          <w:color w:val="646363"/>
          <w:sz w:val="20"/>
          <w:szCs w:val="20"/>
          <w:lang w:eastAsia="en-GB"/>
        </w:rPr>
        <w:br/>
        <w:t>The question should remember the last entry made by the user to help reduce data entry - once a record has been saved, the next time the question is answered, the previous entry will be available immediately as a selection; if the user is now in a different care home, typing the name, address or postcode of the care home will widen the selection to allow the correct entry to be made.</w:t>
      </w:r>
      <w:r w:rsidRPr="00BF7591">
        <w:rPr>
          <w:rFonts w:cstheme="minorHAnsi"/>
          <w:color w:val="646363"/>
          <w:sz w:val="20"/>
          <w:szCs w:val="20"/>
          <w:lang w:eastAsia="en-GB"/>
        </w:rPr>
        <w:br/>
      </w:r>
      <w:r w:rsidRPr="00BF7591">
        <w:rPr>
          <w:rFonts w:cstheme="minorHAnsi"/>
          <w:color w:val="646363"/>
          <w:sz w:val="20"/>
          <w:szCs w:val="20"/>
          <w:lang w:eastAsia="en-GB"/>
        </w:rPr>
        <w:br/>
      </w:r>
      <w:r w:rsidRPr="00BF7591">
        <w:rPr>
          <w:rFonts w:cstheme="minorHAnsi"/>
          <w:b/>
          <w:bCs/>
          <w:color w:val="646363"/>
          <w:sz w:val="20"/>
          <w:szCs w:val="20"/>
          <w:bdr w:val="none" w:sz="0" w:space="0" w:color="auto" w:frame="1"/>
          <w:lang w:eastAsia="en-GB"/>
        </w:rPr>
        <w:t>3. A new question, asking for the Vaccinated Individual , only appears if the Vaccination Setting is a Care Home</w:t>
      </w:r>
      <w:r w:rsidRPr="00BF7591">
        <w:rPr>
          <w:rFonts w:cstheme="minorHAnsi"/>
          <w:color w:val="646363"/>
          <w:sz w:val="20"/>
          <w:szCs w:val="20"/>
          <w:lang w:eastAsia="en-GB"/>
        </w:rPr>
        <w:br/>
        <w:t>This is a choice of "Resident" or "Staff" that must be answered to save the record.</w:t>
      </w:r>
      <w:r w:rsidRPr="00BF7591">
        <w:rPr>
          <w:rFonts w:cstheme="minorHAnsi"/>
          <w:color w:val="646363"/>
          <w:sz w:val="20"/>
          <w:szCs w:val="20"/>
          <w:lang w:eastAsia="en-GB"/>
        </w:rPr>
        <w:br/>
        <w:t>We have sought to minimise the data entry so that normal efficient entries are not affected and that the additional burden of entering the care home details are as low-key as possible.</w:t>
      </w:r>
      <w:r w:rsidRPr="00BF7591">
        <w:rPr>
          <w:rFonts w:cstheme="minorHAnsi"/>
          <w:color w:val="646363"/>
          <w:sz w:val="20"/>
          <w:szCs w:val="20"/>
          <w:lang w:eastAsia="en-GB"/>
        </w:rPr>
        <w:br/>
      </w:r>
      <w:r w:rsidRPr="00BF7591">
        <w:rPr>
          <w:rFonts w:cstheme="minorHAnsi"/>
          <w:color w:val="646363"/>
          <w:sz w:val="20"/>
          <w:szCs w:val="20"/>
          <w:lang w:eastAsia="en-GB"/>
        </w:rPr>
        <w:br/>
      </w:r>
      <w:r w:rsidRPr="00BF7591">
        <w:rPr>
          <w:rFonts w:cstheme="minorHAnsi"/>
          <w:b/>
          <w:bCs/>
          <w:color w:val="646363"/>
          <w:sz w:val="20"/>
          <w:szCs w:val="20"/>
          <w:bdr w:val="none" w:sz="0" w:space="0" w:color="auto" w:frame="1"/>
          <w:lang w:eastAsia="en-GB"/>
        </w:rPr>
        <w:t>Please Note</w:t>
      </w:r>
      <w:r w:rsidRPr="00BF7591">
        <w:rPr>
          <w:rFonts w:cstheme="minorHAnsi"/>
          <w:color w:val="646363"/>
          <w:sz w:val="20"/>
          <w:szCs w:val="20"/>
          <w:lang w:eastAsia="en-GB"/>
        </w:rPr>
        <w:t> that the incentive has been back-dated to 24th December 2020, before the announcement and the request to change the service template were made. The Programme team will advise what arrangements will be made for records made before the platform was updated at 6am 2nd January 2021 in due course. Pinnacle's advice at the current time is for PCN sites </w:t>
      </w:r>
      <w:r w:rsidRPr="00BF7591">
        <w:rPr>
          <w:rFonts w:cstheme="minorHAnsi"/>
          <w:b/>
          <w:bCs/>
          <w:color w:val="646363"/>
          <w:sz w:val="20"/>
          <w:szCs w:val="20"/>
          <w:bdr w:val="none" w:sz="0" w:space="0" w:color="auto" w:frame="1"/>
          <w:lang w:eastAsia="en-GB"/>
        </w:rPr>
        <w:t>not</w:t>
      </w:r>
      <w:r w:rsidRPr="00BF7591">
        <w:rPr>
          <w:rFonts w:cstheme="minorHAnsi"/>
          <w:color w:val="646363"/>
          <w:sz w:val="20"/>
          <w:szCs w:val="20"/>
          <w:lang w:eastAsia="en-GB"/>
        </w:rPr>
        <w:t> to retrospectively adjust records.</w:t>
      </w:r>
      <w:r w:rsidRPr="00BF7591">
        <w:rPr>
          <w:rFonts w:cstheme="minorHAnsi"/>
          <w:color w:val="646363"/>
          <w:sz w:val="20"/>
          <w:szCs w:val="20"/>
          <w:lang w:eastAsia="en-GB"/>
        </w:rPr>
        <w:br/>
      </w:r>
      <w:r w:rsidRPr="00BF7591">
        <w:rPr>
          <w:rFonts w:cstheme="minorHAnsi"/>
          <w:color w:val="646363"/>
          <w:sz w:val="20"/>
          <w:szCs w:val="20"/>
          <w:lang w:eastAsia="en-GB"/>
        </w:rPr>
        <w:br/>
        <w:t>The service user guides available </w:t>
      </w:r>
      <w:hyperlink r:id="rId15" w:tgtFrame="_blank" w:tooltip="in the Resource Centre - https://outcomes4health.org/o4h/help/home?covid" w:history="1">
        <w:r w:rsidRPr="00BF7591">
          <w:rPr>
            <w:rStyle w:val="Hyperlink"/>
            <w:rFonts w:cstheme="minorHAnsi"/>
            <w:color w:val="0F6CB6"/>
            <w:sz w:val="20"/>
            <w:szCs w:val="20"/>
            <w:bdr w:val="none" w:sz="0" w:space="0" w:color="auto" w:frame="1"/>
            <w:lang w:eastAsia="en-GB"/>
          </w:rPr>
          <w:t>in the Resource Centre</w:t>
        </w:r>
      </w:hyperlink>
      <w:r w:rsidRPr="00BF7591">
        <w:rPr>
          <w:rFonts w:cstheme="minorHAnsi"/>
          <w:color w:val="646363"/>
          <w:sz w:val="20"/>
          <w:szCs w:val="20"/>
          <w:lang w:eastAsia="en-GB"/>
        </w:rPr>
        <w:t> will be updated to provide screenshots as soon as possible; however, we hope the changes made are self-explanatory.</w:t>
      </w:r>
    </w:p>
    <w:p w14:paraId="557BF5DE" w14:textId="77777777" w:rsidR="00327E09" w:rsidRDefault="00327E09" w:rsidP="00FC16A8"/>
    <w:p w14:paraId="4C6D5755" w14:textId="0445840B" w:rsidR="004F02FF" w:rsidRDefault="004F02FF" w:rsidP="00FC16A8"/>
    <w:p w14:paraId="0EA94D29" w14:textId="4AF6B0E0" w:rsidR="00327E09" w:rsidRDefault="00327E09" w:rsidP="00FC16A8"/>
    <w:p w14:paraId="74EC6C98" w14:textId="77777777" w:rsidR="00531D80" w:rsidRDefault="00531D80" w:rsidP="00FC16A8"/>
    <w:p w14:paraId="23B4CB8E" w14:textId="6061EC88" w:rsidR="00A15186" w:rsidRPr="0015346E" w:rsidRDefault="00327E09" w:rsidP="00A1518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rFonts w:cstheme="minorHAnsi"/>
          <w:b/>
          <w:bCs/>
          <w:color w:val="202020"/>
          <w:sz w:val="20"/>
          <w:szCs w:val="20"/>
          <w:lang w:eastAsia="en-GB"/>
        </w:rPr>
        <w:t>5</w:t>
      </w:r>
      <w:r w:rsidR="00A15186">
        <w:rPr>
          <w:rFonts w:cstheme="minorHAnsi"/>
          <w:b/>
          <w:bCs/>
          <w:color w:val="202020"/>
          <w:sz w:val="20"/>
          <w:szCs w:val="20"/>
          <w:lang w:eastAsia="en-GB"/>
        </w:rPr>
        <w:t>.</w:t>
      </w:r>
      <w:r w:rsidR="00A15186">
        <w:rPr>
          <w:rFonts w:cstheme="minorHAnsi"/>
          <w:b/>
          <w:bCs/>
          <w:color w:val="202020"/>
          <w:sz w:val="20"/>
          <w:szCs w:val="20"/>
          <w:lang w:eastAsia="en-GB"/>
        </w:rPr>
        <w:tab/>
      </w:r>
      <w:bookmarkStart w:id="5" w:name="mark_5"/>
      <w:r w:rsidR="00A15186" w:rsidRPr="0015346E">
        <w:rPr>
          <w:b/>
          <w:bCs/>
        </w:rPr>
        <w:t>COVID-19 Response Levels Workload prioritisation for primary care</w:t>
      </w:r>
      <w:bookmarkEnd w:id="5"/>
    </w:p>
    <w:p w14:paraId="69F1B93C" w14:textId="77777777" w:rsidR="00A15186" w:rsidRPr="009760A4" w:rsidRDefault="00A15186" w:rsidP="00A1518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Calibri" w:hAnsi="Calibri"/>
          <w:sz w:val="20"/>
          <w:szCs w:val="20"/>
        </w:rPr>
      </w:pPr>
      <w:r w:rsidRPr="009133B0">
        <w:rPr>
          <w:sz w:val="20"/>
          <w:szCs w:val="20"/>
        </w:rPr>
        <w:t xml:space="preserve">As the UK Response Level to COVID-19 has been classified as Level 5 Emergency response Prevalence very high, workload prioritisation should now be re-assessed. The following link from the BMA provides workload prioritisation guidance  for the different response levels: </w:t>
      </w:r>
      <w:hyperlink r:id="rId16" w:history="1">
        <w:r w:rsidRPr="00E93058">
          <w:rPr>
            <w:rStyle w:val="Hyperlink"/>
            <w:sz w:val="20"/>
            <w:szCs w:val="20"/>
          </w:rPr>
          <w:t>https://elearning.rcgp.org.uk/pluginfile.php/149509/mod_page/content/40/RCGP_BMA-COVID_response_levels_05112020.pdf</w:t>
        </w:r>
      </w:hyperlink>
    </w:p>
    <w:p w14:paraId="132C8F20" w14:textId="52D7F21F" w:rsidR="00C77C64" w:rsidRPr="00A15186" w:rsidRDefault="00A15186" w:rsidP="00A1518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5346E">
        <w:rPr>
          <w:sz w:val="20"/>
          <w:szCs w:val="20"/>
        </w:rPr>
        <w:t xml:space="preserve">The document attached (Enc.1) outlines types of work that should be undertaken in primary care, depending on COVID-19 prevalence. </w:t>
      </w:r>
    </w:p>
    <w:p w14:paraId="24736B66" w14:textId="7A963256" w:rsidR="00A15186" w:rsidRDefault="00CF4366" w:rsidP="00A15186">
      <w:pPr>
        <w:contextualSpacing/>
      </w:pPr>
      <w:bookmarkStart w:id="6" w:name="mark_9"/>
      <w:bookmarkStart w:id="7" w:name="mark_10"/>
      <w:bookmarkEnd w:id="6"/>
      <w:bookmarkEnd w:id="7"/>
      <w:r w:rsidRPr="00CF4366">
        <w:rPr>
          <w:b/>
          <w:bCs/>
        </w:rPr>
        <w:tab/>
      </w:r>
    </w:p>
    <w:p w14:paraId="7AEBEC3C" w14:textId="74C3529F" w:rsidR="00A15186" w:rsidRPr="00F662DF" w:rsidRDefault="00327E09" w:rsidP="00A1518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cstheme="minorHAnsi"/>
          <w:b/>
          <w:bCs/>
          <w:color w:val="252424"/>
        </w:rPr>
      </w:pPr>
      <w:r>
        <w:rPr>
          <w:b/>
          <w:bCs/>
        </w:rPr>
        <w:t>6</w:t>
      </w:r>
      <w:r w:rsidR="00A15186" w:rsidRPr="00F662DF">
        <w:rPr>
          <w:b/>
          <w:bCs/>
        </w:rPr>
        <w:t>.</w:t>
      </w:r>
      <w:r w:rsidR="00A15186">
        <w:tab/>
      </w:r>
      <w:bookmarkStart w:id="8" w:name="_Hlk60916724"/>
      <w:bookmarkStart w:id="9" w:name="mark_6"/>
      <w:r w:rsidR="00A15186" w:rsidRPr="00BF7591">
        <w:rPr>
          <w:rFonts w:eastAsia="Times New Roman" w:cstheme="minorHAnsi"/>
          <w:b/>
          <w:bCs/>
          <w:color w:val="252424"/>
        </w:rPr>
        <w:t>COVID-19 Vaccination for Healthcare Professionals</w:t>
      </w:r>
      <w:bookmarkEnd w:id="8"/>
      <w:bookmarkEnd w:id="9"/>
    </w:p>
    <w:p w14:paraId="68F58757" w14:textId="062468A6" w:rsidR="00236B39" w:rsidRPr="00A15186" w:rsidRDefault="00A15186" w:rsidP="00A1518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Segoe UI" w:eastAsia="Times New Roman" w:hAnsi="Segoe UI" w:cs="Segoe UI"/>
          <w:color w:val="252424"/>
          <w:sz w:val="20"/>
          <w:szCs w:val="20"/>
        </w:rPr>
      </w:pPr>
      <w:r w:rsidRPr="00BF7591">
        <w:rPr>
          <w:sz w:val="20"/>
          <w:szCs w:val="20"/>
        </w:rPr>
        <w:t xml:space="preserve">NHSE have advised that locums and other health care workers should be prioritised via their GPs in priority group 2 </w:t>
      </w:r>
      <w:r w:rsidR="00531D80" w:rsidRPr="00BF7591">
        <w:rPr>
          <w:sz w:val="20"/>
          <w:szCs w:val="20"/>
        </w:rPr>
        <w:t>i.e.,</w:t>
      </w:r>
      <w:r w:rsidRPr="00BF7591">
        <w:rPr>
          <w:sz w:val="20"/>
          <w:szCs w:val="20"/>
        </w:rPr>
        <w:t xml:space="preserve"> with the over 80s. </w:t>
      </w:r>
      <w:r w:rsidR="00DE7457">
        <w:rPr>
          <w:sz w:val="20"/>
          <w:szCs w:val="20"/>
        </w:rPr>
        <w:t xml:space="preserve"> </w:t>
      </w:r>
      <w:r w:rsidR="00DE7457">
        <w:t xml:space="preserve">GPs should be aware that if they are contacted by </w:t>
      </w:r>
      <w:r w:rsidR="00DE7457">
        <w:t xml:space="preserve">a health care worker to ensure that they are </w:t>
      </w:r>
      <w:r w:rsidR="00DE7457">
        <w:rPr>
          <w:sz w:val="20"/>
          <w:szCs w:val="20"/>
        </w:rPr>
        <w:t>offered appointments in line with</w:t>
      </w:r>
      <w:r w:rsidRPr="00BF7591">
        <w:rPr>
          <w:sz w:val="20"/>
          <w:szCs w:val="20"/>
        </w:rPr>
        <w:t xml:space="preserve"> other group 2 patients.</w:t>
      </w:r>
      <w:r w:rsidR="00DE7457">
        <w:rPr>
          <w:sz w:val="20"/>
          <w:szCs w:val="20"/>
        </w:rPr>
        <w:t xml:space="preserve"> Please see the attached document: </w:t>
      </w:r>
      <w:r w:rsidR="00DE7457" w:rsidRPr="00412BAF">
        <w:rPr>
          <w:rFonts w:cstheme="minorHAnsi"/>
          <w:sz w:val="20"/>
          <w:szCs w:val="20"/>
        </w:rPr>
        <w:t>Operational Guidance: Vaccination of Frontline Health &amp; Social Care Workers</w:t>
      </w:r>
      <w:r w:rsidR="00DE7457">
        <w:rPr>
          <w:sz w:val="20"/>
          <w:szCs w:val="20"/>
        </w:rPr>
        <w:t xml:space="preserve"> (Enc.3) </w:t>
      </w:r>
    </w:p>
    <w:p w14:paraId="6C8229FC" w14:textId="77777777" w:rsidR="0028528B" w:rsidRDefault="0028528B" w:rsidP="00FE1174"/>
    <w:p w14:paraId="628467E3" w14:textId="73257EB9" w:rsidR="00FC16A8" w:rsidRPr="00C500D9" w:rsidRDefault="0000297C" w:rsidP="00FC16A8">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color w:val="000000"/>
        </w:rPr>
        <w:t>7</w:t>
      </w:r>
      <w:r w:rsidR="00090C38">
        <w:rPr>
          <w:b/>
          <w:bCs/>
          <w:color w:val="000000"/>
        </w:rPr>
        <w:t>.</w:t>
      </w:r>
      <w:r w:rsidR="00090C38">
        <w:rPr>
          <w:b/>
          <w:bCs/>
          <w:color w:val="000000"/>
        </w:rPr>
        <w:tab/>
      </w:r>
      <w:bookmarkStart w:id="10" w:name="mark_7"/>
      <w:r w:rsidR="00FC16A8" w:rsidRPr="00C500D9">
        <w:rPr>
          <w:b/>
          <w:bCs/>
        </w:rPr>
        <w:t>Government Shielding Guidance</w:t>
      </w:r>
      <w:bookmarkEnd w:id="10"/>
    </w:p>
    <w:p w14:paraId="0C926901" w14:textId="77777777" w:rsidR="00FC16A8" w:rsidRPr="00C500D9" w:rsidRDefault="00FC16A8" w:rsidP="00531D8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0" w:line="360" w:lineRule="auto"/>
        <w:rPr>
          <w:rFonts w:cstheme="minorHAnsi"/>
          <w:sz w:val="20"/>
          <w:szCs w:val="20"/>
          <w:lang w:eastAsia="en-GB"/>
        </w:rPr>
      </w:pPr>
      <w:r w:rsidRPr="00C500D9">
        <w:rPr>
          <w:rFonts w:cstheme="minorHAnsi"/>
          <w:color w:val="202020"/>
          <w:sz w:val="20"/>
          <w:szCs w:val="20"/>
          <w:lang w:eastAsia="en-GB"/>
        </w:rPr>
        <w:t>Following the Government's new lockdown announcement, please find below updated guidance on shielding for those considered clinically extremely vulnerable to COVID-19 for your use:</w:t>
      </w:r>
    </w:p>
    <w:p w14:paraId="088BFEE7" w14:textId="77777777" w:rsidR="00FC16A8" w:rsidRDefault="00EE6876" w:rsidP="00531D8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60" w:lineRule="auto"/>
        <w:rPr>
          <w:rFonts w:eastAsia="Times New Roman" w:cstheme="minorHAnsi"/>
          <w:color w:val="202020"/>
          <w:sz w:val="20"/>
          <w:szCs w:val="20"/>
          <w:lang w:eastAsia="en-GB"/>
        </w:rPr>
      </w:pPr>
      <w:hyperlink r:id="rId17" w:tgtFrame="_blank" w:history="1">
        <w:r w:rsidR="00FC16A8" w:rsidRPr="00C500D9">
          <w:rPr>
            <w:rStyle w:val="Hyperlink"/>
            <w:rFonts w:eastAsia="Times New Roman" w:cstheme="minorHAnsi"/>
            <w:color w:val="007C89"/>
            <w:sz w:val="20"/>
            <w:szCs w:val="20"/>
            <w:lang w:eastAsia="en-GB"/>
          </w:rPr>
          <w:t>Update on guidance to Health Professionals </w:t>
        </w:r>
      </w:hyperlink>
      <w:r w:rsidR="00FC16A8" w:rsidRPr="00C500D9">
        <w:rPr>
          <w:rFonts w:eastAsia="Times New Roman" w:cstheme="minorHAnsi"/>
          <w:color w:val="202020"/>
          <w:sz w:val="20"/>
          <w:szCs w:val="20"/>
          <w:lang w:eastAsia="en-GB"/>
        </w:rPr>
        <w:t xml:space="preserve"> </w:t>
      </w:r>
    </w:p>
    <w:p w14:paraId="1ABF368C" w14:textId="1001E0E2" w:rsidR="00816E1F" w:rsidRPr="00327E09" w:rsidRDefault="00EE6876" w:rsidP="00531D8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60" w:lineRule="auto"/>
        <w:rPr>
          <w:rFonts w:eastAsia="Times New Roman" w:cstheme="minorHAnsi"/>
          <w:color w:val="202020"/>
          <w:sz w:val="20"/>
          <w:szCs w:val="20"/>
          <w:lang w:eastAsia="en-GB"/>
        </w:rPr>
      </w:pPr>
      <w:hyperlink r:id="rId18" w:tgtFrame="_blank" w:history="1">
        <w:r w:rsidR="00FC16A8" w:rsidRPr="00C500D9">
          <w:rPr>
            <w:rStyle w:val="Hyperlink"/>
            <w:rFonts w:cstheme="minorHAnsi"/>
            <w:color w:val="007C89"/>
            <w:sz w:val="20"/>
            <w:szCs w:val="20"/>
            <w:lang w:eastAsia="en-GB"/>
          </w:rPr>
          <w:t>Patient letter</w:t>
        </w:r>
      </w:hyperlink>
    </w:p>
    <w:p w14:paraId="6CCDC06E" w14:textId="77777777" w:rsidR="00E25DBD" w:rsidRDefault="00E25DBD" w:rsidP="00090C38"/>
    <w:p w14:paraId="73F6AB33" w14:textId="77777777" w:rsidR="0000297C" w:rsidRDefault="0000297C" w:rsidP="0000297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15" w:lineRule="atLeast"/>
        <w:textAlignment w:val="center"/>
        <w:rPr>
          <w:rFonts w:cstheme="minorHAnsi"/>
          <w:color w:val="030303"/>
          <w:position w:val="17"/>
          <w:sz w:val="20"/>
          <w:szCs w:val="20"/>
          <w:lang w:eastAsia="en-GB"/>
        </w:rPr>
      </w:pPr>
      <w:r>
        <w:rPr>
          <w:rFonts w:cstheme="minorHAnsi"/>
          <w:b/>
          <w:bCs/>
          <w:color w:val="030303"/>
          <w:position w:val="17"/>
          <w:lang w:eastAsia="en-GB"/>
        </w:rPr>
        <w:t>8.</w:t>
      </w:r>
      <w:r>
        <w:rPr>
          <w:rFonts w:cstheme="minorHAnsi"/>
          <w:b/>
          <w:bCs/>
          <w:color w:val="030303"/>
          <w:position w:val="17"/>
          <w:lang w:eastAsia="en-GB"/>
        </w:rPr>
        <w:tab/>
      </w:r>
      <w:bookmarkStart w:id="11" w:name="mark_8"/>
      <w:r w:rsidRPr="00CE1559">
        <w:rPr>
          <w:rFonts w:cstheme="minorHAnsi"/>
          <w:b/>
          <w:bCs/>
          <w:color w:val="030303"/>
          <w:position w:val="17"/>
          <w:lang w:eastAsia="en-GB"/>
        </w:rPr>
        <w:t>Deployment of COVID-19 Vaccine Oxford/AstraZeneca for pharmacy teams</w:t>
      </w:r>
      <w:bookmarkEnd w:id="11"/>
      <w:r w:rsidRPr="00CE1559">
        <w:rPr>
          <w:rFonts w:cstheme="minorHAnsi"/>
          <w:color w:val="030303"/>
          <w:position w:val="17"/>
          <w:sz w:val="20"/>
          <w:szCs w:val="20"/>
          <w:lang w:eastAsia="en-GB"/>
        </w:rPr>
        <w:br/>
      </w:r>
    </w:p>
    <w:p w14:paraId="54A3D009" w14:textId="35F8395E" w:rsidR="0000297C" w:rsidRPr="00CE1559" w:rsidRDefault="00EE6876" w:rsidP="0000297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15" w:lineRule="atLeast"/>
        <w:textAlignment w:val="center"/>
        <w:rPr>
          <w:rFonts w:cstheme="minorHAnsi"/>
          <w:color w:val="030303"/>
          <w:position w:val="17"/>
          <w:sz w:val="20"/>
          <w:szCs w:val="20"/>
          <w:lang w:eastAsia="en-GB"/>
        </w:rPr>
      </w:pPr>
      <w:hyperlink r:id="rId19" w:history="1">
        <w:r w:rsidR="0000297C" w:rsidRPr="00CE1559">
          <w:rPr>
            <w:rStyle w:val="Hyperlink"/>
            <w:rFonts w:cstheme="minorHAnsi"/>
            <w:color w:val="005EB8"/>
            <w:position w:val="17"/>
            <w:sz w:val="20"/>
            <w:szCs w:val="20"/>
            <w:lang w:eastAsia="en-GB"/>
          </w:rPr>
          <w:t>This letter</w:t>
        </w:r>
      </w:hyperlink>
      <w:r w:rsidR="0000297C" w:rsidRPr="00CE1559">
        <w:rPr>
          <w:rFonts w:cstheme="minorHAnsi"/>
          <w:color w:val="030303"/>
          <w:position w:val="17"/>
          <w:sz w:val="20"/>
          <w:szCs w:val="20"/>
          <w:lang w:eastAsia="en-GB"/>
        </w:rPr>
        <w:t xml:space="preserve"> sent on 31 December 2020 from Keith Ridge, Chief Pharmaceutical Officer for England, outlines the implications for governance, </w:t>
      </w:r>
      <w:r w:rsidR="00531D80" w:rsidRPr="00CE1559">
        <w:rPr>
          <w:rFonts w:cstheme="minorHAnsi"/>
          <w:color w:val="030303"/>
          <w:position w:val="17"/>
          <w:sz w:val="20"/>
          <w:szCs w:val="20"/>
          <w:lang w:eastAsia="en-GB"/>
        </w:rPr>
        <w:t>handling,</w:t>
      </w:r>
      <w:r w:rsidR="0000297C" w:rsidRPr="00CE1559">
        <w:rPr>
          <w:rFonts w:cstheme="minorHAnsi"/>
          <w:color w:val="030303"/>
          <w:position w:val="17"/>
          <w:sz w:val="20"/>
          <w:szCs w:val="20"/>
          <w:lang w:eastAsia="en-GB"/>
        </w:rPr>
        <w:t xml:space="preserve"> and preparation of the vaccines for pharmacy teams. </w:t>
      </w:r>
    </w:p>
    <w:p w14:paraId="49BF0A9C" w14:textId="48A1C153" w:rsidR="0028528B" w:rsidRDefault="0028528B" w:rsidP="00AF1DEC"/>
    <w:p w14:paraId="00825610" w14:textId="232C4D2D" w:rsidR="00531D80" w:rsidRDefault="00531D80" w:rsidP="00AF1DEC"/>
    <w:p w14:paraId="75997503" w14:textId="1B2AEC3D" w:rsidR="00531D80" w:rsidRDefault="00531D80" w:rsidP="00AF1DEC"/>
    <w:p w14:paraId="58B5B0DB" w14:textId="4D4EB373" w:rsidR="00531D80" w:rsidRDefault="00531D80" w:rsidP="00AF1DEC"/>
    <w:p w14:paraId="5F472036" w14:textId="46ABA4DD" w:rsidR="00531D80" w:rsidRDefault="00531D80" w:rsidP="00AF1DEC"/>
    <w:p w14:paraId="41E085AE" w14:textId="5D75446B" w:rsidR="00531D80" w:rsidRDefault="00531D80" w:rsidP="00AF1DEC"/>
    <w:p w14:paraId="76CE9F66" w14:textId="6FC606C9" w:rsidR="00531D80" w:rsidRDefault="00531D80" w:rsidP="00AF1DEC"/>
    <w:p w14:paraId="1AFF3B3E" w14:textId="4C90747E" w:rsidR="00531D80" w:rsidRDefault="00531D80" w:rsidP="00AF1DEC"/>
    <w:p w14:paraId="5CD1DDBD" w14:textId="77777777" w:rsidR="00531D80" w:rsidRPr="008D3F6E" w:rsidRDefault="00531D80" w:rsidP="00AF1DEC"/>
    <w:p w14:paraId="6035EB27"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us  </w:t>
      </w:r>
    </w:p>
    <w:p w14:paraId="0F8B2085" w14:textId="4106E8B9" w:rsidR="00AF1DEC" w:rsidRDefault="00AF1DEC" w:rsidP="00AF1DEC">
      <w:pPr>
        <w:rPr>
          <w:b/>
          <w:bCs/>
          <w:u w:val="single"/>
        </w:rPr>
      </w:pPr>
    </w:p>
    <w:p w14:paraId="02BC6FF7" w14:textId="0C7B9BB8" w:rsidR="0028528B" w:rsidRPr="00327E09" w:rsidRDefault="00AF1DEC" w:rsidP="00327E0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20" w:history="1">
        <w:r w:rsidRPr="00B42CEB">
          <w:rPr>
            <w:rStyle w:val="Hyperlink"/>
            <w:b/>
            <w:bCs/>
            <w:u w:val="none"/>
          </w:rPr>
          <w:t>birmingham.lmc@nhs.net</w:t>
        </w:r>
      </w:hyperlink>
    </w:p>
    <w:p w14:paraId="2855B6AD" w14:textId="77777777" w:rsidR="0028528B" w:rsidRDefault="0028528B" w:rsidP="00AF1DEC"/>
    <w:p w14:paraId="1088FA9D"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720324B6" w14:textId="77777777" w:rsidR="00AF1DEC" w:rsidRPr="00AB0284"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b/>
          <w:bCs/>
          <w:u w:val="single"/>
        </w:rPr>
      </w:pPr>
    </w:p>
    <w:p w14:paraId="7DA4457C"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1"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220AB17E"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hAnsiTheme="minorHAnsi"/>
          <w:b/>
          <w:bCs/>
          <w:color w:val="auto"/>
          <w:sz w:val="22"/>
          <w:szCs w:val="22"/>
        </w:rPr>
      </w:pPr>
    </w:p>
    <w:p w14:paraId="0F47E39A"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2"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53F34098"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lang w:eastAsia="en-GB"/>
        </w:rPr>
      </w:pPr>
    </w:p>
    <w:p w14:paraId="3601E328" w14:textId="77777777" w:rsidR="00AF1DEC"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rStyle w:val="Hyperlink"/>
        </w:rPr>
      </w:pPr>
      <w:r w:rsidRPr="00797412">
        <w:rPr>
          <w:b/>
          <w:bCs/>
        </w:rPr>
        <w:t>NHS ENGLAND:</w:t>
      </w:r>
      <w:r w:rsidRPr="00797412">
        <w:t xml:space="preserve"> </w:t>
      </w:r>
      <w:hyperlink r:id="rId23" w:history="1">
        <w:r w:rsidRPr="00797412">
          <w:rPr>
            <w:rStyle w:val="Hyperlink"/>
          </w:rPr>
          <w:t>https://www.england.nhs.uk/publication/implementing-phase-3-of-the-nhs-response-to-the-covid-19-pandemic/</w:t>
        </w:r>
      </w:hyperlink>
    </w:p>
    <w:p w14:paraId="01744A81"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p>
    <w:p w14:paraId="25AB9674" w14:textId="77777777" w:rsidR="00FE1174" w:rsidRPr="00FE1174" w:rsidRDefault="00FE1174" w:rsidP="00FE1174"/>
    <w:sectPr w:rsidR="00FE1174" w:rsidRPr="00FE1174" w:rsidSect="0000297C">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4E295" w14:textId="77777777" w:rsidR="00EE6876" w:rsidRDefault="00EE6876" w:rsidP="001B4E81">
      <w:pPr>
        <w:spacing w:after="0" w:line="240" w:lineRule="auto"/>
      </w:pPr>
      <w:r>
        <w:separator/>
      </w:r>
    </w:p>
  </w:endnote>
  <w:endnote w:type="continuationSeparator" w:id="0">
    <w:p w14:paraId="3F173CFE" w14:textId="77777777" w:rsidR="00EE6876" w:rsidRDefault="00EE6876"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B593" w14:textId="754BD40A" w:rsidR="00424321" w:rsidRPr="00AF1DEC" w:rsidRDefault="00AF1DEC" w:rsidP="00AF1DEC">
    <w:pPr>
      <w:pStyle w:val="Footer"/>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1D90B" w14:textId="77777777" w:rsidR="00EE6876" w:rsidRDefault="00EE6876" w:rsidP="001B4E81">
      <w:pPr>
        <w:spacing w:after="0" w:line="240" w:lineRule="auto"/>
      </w:pPr>
      <w:r>
        <w:separator/>
      </w:r>
    </w:p>
  </w:footnote>
  <w:footnote w:type="continuationSeparator" w:id="0">
    <w:p w14:paraId="6FEB9F73" w14:textId="77777777" w:rsidR="00EE6876" w:rsidRDefault="00EE6876"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B6"/>
    <w:multiLevelType w:val="hybridMultilevel"/>
    <w:tmpl w:val="E28EE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C57BB2"/>
    <w:multiLevelType w:val="hybridMultilevel"/>
    <w:tmpl w:val="5E0E9606"/>
    <w:lvl w:ilvl="0" w:tplc="F9001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D57F4"/>
    <w:multiLevelType w:val="hybridMultilevel"/>
    <w:tmpl w:val="BC521E22"/>
    <w:lvl w:ilvl="0" w:tplc="CD78274A">
      <w:start w:val="1"/>
      <w:numFmt w:val="decimal"/>
      <w:lvlText w:val="%1."/>
      <w:lvlJc w:val="left"/>
      <w:pPr>
        <w:ind w:left="720" w:hanging="360"/>
      </w:pPr>
      <w:rPr>
        <w:rFonts w:cstheme="minorHAnsi" w:hint="default"/>
        <w:b/>
        <w:color w:val="20202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D2352"/>
    <w:multiLevelType w:val="hybridMultilevel"/>
    <w:tmpl w:val="821E4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F21FC"/>
    <w:multiLevelType w:val="hybridMultilevel"/>
    <w:tmpl w:val="FB62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3"/>
  </w:num>
  <w:num w:numId="5">
    <w:abstractNumId w:val="9"/>
  </w:num>
  <w:num w:numId="6">
    <w:abstractNumId w:val="1"/>
  </w:num>
  <w:num w:numId="7">
    <w:abstractNumId w:val="6"/>
  </w:num>
  <w:num w:numId="8">
    <w:abstractNumId w:val="10"/>
  </w:num>
  <w:num w:numId="9">
    <w:abstractNumId w:val="4"/>
  </w:num>
  <w:num w:numId="10">
    <w:abstractNumId w:val="14"/>
  </w:num>
  <w:num w:numId="11">
    <w:abstractNumId w:val="8"/>
  </w:num>
  <w:num w:numId="12">
    <w:abstractNumId w:val="12"/>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7C"/>
    <w:rsid w:val="00010C70"/>
    <w:rsid w:val="000525F3"/>
    <w:rsid w:val="00090C38"/>
    <w:rsid w:val="000B48EB"/>
    <w:rsid w:val="000C2FD6"/>
    <w:rsid w:val="000F0353"/>
    <w:rsid w:val="000F7B3E"/>
    <w:rsid w:val="0012701E"/>
    <w:rsid w:val="0014236A"/>
    <w:rsid w:val="00177EAB"/>
    <w:rsid w:val="00185027"/>
    <w:rsid w:val="001B002E"/>
    <w:rsid w:val="001B4E81"/>
    <w:rsid w:val="001E09D1"/>
    <w:rsid w:val="001F50DA"/>
    <w:rsid w:val="00222F72"/>
    <w:rsid w:val="00236B39"/>
    <w:rsid w:val="00257079"/>
    <w:rsid w:val="00267854"/>
    <w:rsid w:val="0027009C"/>
    <w:rsid w:val="0028528B"/>
    <w:rsid w:val="00322467"/>
    <w:rsid w:val="00327E09"/>
    <w:rsid w:val="00327F6D"/>
    <w:rsid w:val="003307E4"/>
    <w:rsid w:val="00334058"/>
    <w:rsid w:val="003731E2"/>
    <w:rsid w:val="00394044"/>
    <w:rsid w:val="003A2046"/>
    <w:rsid w:val="0042361F"/>
    <w:rsid w:val="00424321"/>
    <w:rsid w:val="004473AE"/>
    <w:rsid w:val="004525D2"/>
    <w:rsid w:val="00471CFB"/>
    <w:rsid w:val="004B5D50"/>
    <w:rsid w:val="004F02FF"/>
    <w:rsid w:val="004F7CC6"/>
    <w:rsid w:val="00531D80"/>
    <w:rsid w:val="00552E3F"/>
    <w:rsid w:val="0056264F"/>
    <w:rsid w:val="00584AE9"/>
    <w:rsid w:val="00594272"/>
    <w:rsid w:val="005F5155"/>
    <w:rsid w:val="00615375"/>
    <w:rsid w:val="00654AA4"/>
    <w:rsid w:val="00695059"/>
    <w:rsid w:val="006D030D"/>
    <w:rsid w:val="006D0B43"/>
    <w:rsid w:val="006D4E3F"/>
    <w:rsid w:val="006D742B"/>
    <w:rsid w:val="0076655F"/>
    <w:rsid w:val="0078159D"/>
    <w:rsid w:val="007F2282"/>
    <w:rsid w:val="007F5F4E"/>
    <w:rsid w:val="007F7396"/>
    <w:rsid w:val="00816E1F"/>
    <w:rsid w:val="00875A27"/>
    <w:rsid w:val="008855B8"/>
    <w:rsid w:val="008C56EA"/>
    <w:rsid w:val="008D0A2E"/>
    <w:rsid w:val="008E369B"/>
    <w:rsid w:val="00906C87"/>
    <w:rsid w:val="00933287"/>
    <w:rsid w:val="0097290E"/>
    <w:rsid w:val="0098382C"/>
    <w:rsid w:val="0098389F"/>
    <w:rsid w:val="009A094B"/>
    <w:rsid w:val="009C67A9"/>
    <w:rsid w:val="009D2E7D"/>
    <w:rsid w:val="009E4658"/>
    <w:rsid w:val="00A15186"/>
    <w:rsid w:val="00A40FF9"/>
    <w:rsid w:val="00A552F2"/>
    <w:rsid w:val="00A7150C"/>
    <w:rsid w:val="00AD0E2F"/>
    <w:rsid w:val="00AF1DEC"/>
    <w:rsid w:val="00BA4459"/>
    <w:rsid w:val="00BC4341"/>
    <w:rsid w:val="00C3130E"/>
    <w:rsid w:val="00C41F18"/>
    <w:rsid w:val="00C77C64"/>
    <w:rsid w:val="00C8624E"/>
    <w:rsid w:val="00C86677"/>
    <w:rsid w:val="00C93DBF"/>
    <w:rsid w:val="00CF4366"/>
    <w:rsid w:val="00CF6C14"/>
    <w:rsid w:val="00D4646D"/>
    <w:rsid w:val="00D72E12"/>
    <w:rsid w:val="00D7308E"/>
    <w:rsid w:val="00DB088B"/>
    <w:rsid w:val="00DB196B"/>
    <w:rsid w:val="00DE7457"/>
    <w:rsid w:val="00DF0C23"/>
    <w:rsid w:val="00E1676C"/>
    <w:rsid w:val="00E25DBD"/>
    <w:rsid w:val="00E40AC3"/>
    <w:rsid w:val="00E62758"/>
    <w:rsid w:val="00E8766D"/>
    <w:rsid w:val="00EE6841"/>
    <w:rsid w:val="00EE6876"/>
    <w:rsid w:val="00F20872"/>
    <w:rsid w:val="00F537D1"/>
    <w:rsid w:val="00F727DA"/>
    <w:rsid w:val="00FC16A8"/>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1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AF1DE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47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F7B3E"/>
    <w:pPr>
      <w:spacing w:after="0" w:line="240" w:lineRule="auto"/>
    </w:pPr>
    <w:rPr>
      <w:rFonts w:ascii="Calibri" w:hAnsi="Calibri" w:cs="Times New Roman"/>
    </w:rPr>
  </w:style>
  <w:style w:type="paragraph" w:customStyle="1" w:styleId="xmsonormal">
    <w:name w:val="xmsonormal"/>
    <w:basedOn w:val="Normal"/>
    <w:rsid w:val="00906C87"/>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781729">
      <w:bodyDiv w:val="1"/>
      <w:marLeft w:val="0"/>
      <w:marRight w:val="0"/>
      <w:marTop w:val="0"/>
      <w:marBottom w:val="0"/>
      <w:divBdr>
        <w:top w:val="none" w:sz="0" w:space="0" w:color="auto"/>
        <w:left w:val="none" w:sz="0" w:space="0" w:color="auto"/>
        <w:bottom w:val="none" w:sz="0" w:space="0" w:color="auto"/>
        <w:right w:val="none" w:sz="0" w:space="0" w:color="auto"/>
      </w:divBdr>
    </w:div>
    <w:div w:id="569582925">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77003969">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600987787">
      <w:bodyDiv w:val="1"/>
      <w:marLeft w:val="0"/>
      <w:marRight w:val="0"/>
      <w:marTop w:val="0"/>
      <w:marBottom w:val="0"/>
      <w:divBdr>
        <w:top w:val="none" w:sz="0" w:space="0" w:color="auto"/>
        <w:left w:val="none" w:sz="0" w:space="0" w:color="auto"/>
        <w:bottom w:val="none" w:sz="0" w:space="0" w:color="auto"/>
        <w:right w:val="none" w:sz="0" w:space="0" w:color="auto"/>
      </w:divBdr>
    </w:div>
    <w:div w:id="17072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ronavirus/publication/patient-group-direction-for-covid-19-vaccine-astrazeneca-chadox1-s-recombinant/" TargetMode="External"/><Relationship Id="rId18" Type="http://schemas.openxmlformats.org/officeDocument/2006/relationships/hyperlink" Target="https://mcusercontent.com/e2c82a34f1f36752c828d6b37/files/fcde0c02-31db-4106-9dd4-9553005265db/311220_CEV_Letter_tier_4_FINAL_31_Dec_versio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covid-19/gp-practices/covid-19-toolkit-for-gps-and-gp-practices" TargetMode="External"/><Relationship Id="rId7" Type="http://schemas.openxmlformats.org/officeDocument/2006/relationships/settings" Target="settings.xml"/><Relationship Id="rId12" Type="http://schemas.openxmlformats.org/officeDocument/2006/relationships/hyperlink" Target="https://generalpracticebulletin.cmail19.com/t/d-l-curckl-tluhhdhyld-d/" TargetMode="External"/><Relationship Id="rId17" Type="http://schemas.openxmlformats.org/officeDocument/2006/relationships/hyperlink" Target="https://mcusercontent.com/e2c82a34f1f36752c828d6b37/files/f46c371b-7848-4b11-be20-862ddcf0aa71/201230_Tier_4_NHS_shielding_update_letter_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learning.rcgp.org.uk/pluginfile.php/149509/mod_page/content/40/RCGP_BMA-COVID_response_levels_05112020.pdf"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eralpracticebulletin.cmail19.com/t/d-l-curckl-tluhhdhyld-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utcomes4health.org/o4h/help/home?covid" TargetMode="External"/><Relationship Id="rId23" Type="http://schemas.openxmlformats.org/officeDocument/2006/relationships/hyperlink" Target="https://www.england.nhs.uk/publication/implementing-phase-3-of-the-nhs-response-to-the-covid-19-pandemic/" TargetMode="External"/><Relationship Id="rId10" Type="http://schemas.openxmlformats.org/officeDocument/2006/relationships/endnotes" Target="endnotes.xml"/><Relationship Id="rId19" Type="http://schemas.openxmlformats.org/officeDocument/2006/relationships/hyperlink" Target="https://generalpracticebulletin.cmail19.com/t/d-l-curckl-tluhhdhyl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2020/12/gps-given-10-per-jab-boost-to-support-care-home-vaccination-drive/"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3</cp:revision>
  <dcterms:created xsi:type="dcterms:W3CDTF">2021-01-07T15:06:00Z</dcterms:created>
  <dcterms:modified xsi:type="dcterms:W3CDTF">2021-01-07T15:59:00Z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