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p"/>
    <w:bookmarkEnd w:id="0"/>
    <w:p w14:paraId="6DF7E79E" w14:textId="0B94CBD7" w:rsidR="0014236A" w:rsidRDefault="001B4E81" w:rsidP="00825276">
      <w:pPr>
        <w:jc w:val="center"/>
        <w:rPr>
          <w:b/>
          <w:bCs/>
          <w:i/>
          <w:iCs/>
          <w:color w:val="4472C4" w:themeColor="accent1"/>
          <w:sz w:val="32"/>
          <w:szCs w:val="32"/>
        </w:rPr>
      </w:pPr>
      <w:r>
        <w:rPr>
          <w:noProof/>
        </w:rPr>
        <mc:AlternateContent>
          <mc:Choice Requires="wps">
            <w:drawing>
              <wp:anchor distT="91440" distB="91440" distL="114300" distR="114300" simplePos="0" relativeHeight="251659264" behindDoc="0" locked="0" layoutInCell="1" allowOverlap="1" wp14:anchorId="067BC79F" wp14:editId="5E085179">
                <wp:simplePos x="0" y="0"/>
                <wp:positionH relativeFrom="page">
                  <wp:posOffset>946150</wp:posOffset>
                </wp:positionH>
                <wp:positionV relativeFrom="paragraph">
                  <wp:posOffset>220980</wp:posOffset>
                </wp:positionV>
                <wp:extent cx="5492750" cy="7366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736600"/>
                        </a:xfrm>
                        <a:prstGeom prst="rect">
                          <a:avLst/>
                        </a:prstGeom>
                        <a:noFill/>
                        <a:ln w="9525">
                          <a:noFill/>
                          <a:miter lim="800000"/>
                          <a:headEnd/>
                          <a:tailEnd/>
                        </a:ln>
                      </wps:spPr>
                      <wps:txbx>
                        <w:txbxContent>
                          <w:p w14:paraId="2E6CEEA0" w14:textId="4FEAFC0D" w:rsidR="001B4E81" w:rsidRPr="00267854" w:rsidRDefault="001B4E81">
                            <w:pPr>
                              <w:pBdr>
                                <w:top w:val="single" w:sz="24" w:space="8" w:color="4472C4" w:themeColor="accent1"/>
                                <w:bottom w:val="single" w:sz="24" w:space="8" w:color="4472C4" w:themeColor="accent1"/>
                              </w:pBdr>
                              <w:spacing w:after="0"/>
                              <w:rPr>
                                <w:b/>
                                <w:bCs/>
                                <w:i/>
                                <w:iCs/>
                                <w:color w:val="4472C4" w:themeColor="accent1"/>
                                <w:sz w:val="44"/>
                                <w:szCs w:val="44"/>
                              </w:rPr>
                            </w:pPr>
                            <w:r w:rsidRPr="00267854">
                              <w:rPr>
                                <w:b/>
                                <w:bCs/>
                                <w:i/>
                                <w:iCs/>
                                <w:color w:val="4472C4" w:themeColor="accent1"/>
                                <w:sz w:val="44"/>
                                <w:szCs w:val="44"/>
                              </w:rPr>
                              <w:t>WEEKLY NEWSLETTER –</w:t>
                            </w:r>
                            <w:r w:rsidR="00A014D7">
                              <w:rPr>
                                <w:b/>
                                <w:bCs/>
                                <w:i/>
                                <w:iCs/>
                                <w:color w:val="4472C4" w:themeColor="accent1"/>
                                <w:sz w:val="44"/>
                                <w:szCs w:val="44"/>
                              </w:rPr>
                              <w:t xml:space="preserve"> 9th</w:t>
                            </w:r>
                            <w:r w:rsidR="00000B51">
                              <w:rPr>
                                <w:b/>
                                <w:bCs/>
                                <w:i/>
                                <w:iCs/>
                                <w:color w:val="4472C4" w:themeColor="accent1"/>
                                <w:sz w:val="44"/>
                                <w:szCs w:val="44"/>
                              </w:rPr>
                              <w:t xml:space="preserve"> February</w:t>
                            </w:r>
                            <w:r w:rsidR="00A15186">
                              <w:rPr>
                                <w:b/>
                                <w:bCs/>
                                <w:i/>
                                <w:iCs/>
                                <w:color w:val="4472C4" w:themeColor="accent1"/>
                                <w:sz w:val="44"/>
                                <w:szCs w:val="44"/>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BC79F" id="_x0000_t202" coordsize="21600,21600" o:spt="202" path="m,l,21600r21600,l21600,xe">
                <v:stroke joinstyle="miter"/>
                <v:path gradientshapeok="t" o:connecttype="rect"/>
              </v:shapetype>
              <v:shape id="Text Box 2" o:spid="_x0000_s1026" type="#_x0000_t202" style="position:absolute;left:0;text-align:left;margin-left:74.5pt;margin-top:17.4pt;width:432.5pt;height:58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" filled="f" stroked="f">
                <v:textbox>
                  <w:txbxContent>
                    <w:p w14:paraId="2E6CEEA0" w14:textId="4FEAFC0D" w:rsidR="001B4E81" w:rsidRPr="00267854" w:rsidRDefault="001B4E81">
                      <w:pPr>
                        <w:pBdr>
                          <w:top w:val="single" w:sz="24" w:space="8" w:color="4472C4" w:themeColor="accent1"/>
                          <w:bottom w:val="single" w:sz="24" w:space="8" w:color="4472C4" w:themeColor="accent1"/>
                        </w:pBdr>
                        <w:spacing w:after="0"/>
                        <w:rPr>
                          <w:b/>
                          <w:bCs/>
                          <w:i/>
                          <w:iCs/>
                          <w:color w:val="4472C4" w:themeColor="accent1"/>
                          <w:sz w:val="44"/>
                          <w:szCs w:val="44"/>
                        </w:rPr>
                      </w:pPr>
                      <w:r w:rsidRPr="00267854">
                        <w:rPr>
                          <w:b/>
                          <w:bCs/>
                          <w:i/>
                          <w:iCs/>
                          <w:color w:val="4472C4" w:themeColor="accent1"/>
                          <w:sz w:val="44"/>
                          <w:szCs w:val="44"/>
                        </w:rPr>
                        <w:t>WEEKLY NEWSLETTER –</w:t>
                      </w:r>
                      <w:r w:rsidR="00A014D7">
                        <w:rPr>
                          <w:b/>
                          <w:bCs/>
                          <w:i/>
                          <w:iCs/>
                          <w:color w:val="4472C4" w:themeColor="accent1"/>
                          <w:sz w:val="44"/>
                          <w:szCs w:val="44"/>
                        </w:rPr>
                        <w:t xml:space="preserve"> 9th</w:t>
                      </w:r>
                      <w:r w:rsidR="00000B51">
                        <w:rPr>
                          <w:b/>
                          <w:bCs/>
                          <w:i/>
                          <w:iCs/>
                          <w:color w:val="4472C4" w:themeColor="accent1"/>
                          <w:sz w:val="44"/>
                          <w:szCs w:val="44"/>
                        </w:rPr>
                        <w:t xml:space="preserve"> February</w:t>
                      </w:r>
                      <w:r w:rsidR="00A15186">
                        <w:rPr>
                          <w:b/>
                          <w:bCs/>
                          <w:i/>
                          <w:iCs/>
                          <w:color w:val="4472C4" w:themeColor="accent1"/>
                          <w:sz w:val="44"/>
                          <w:szCs w:val="44"/>
                        </w:rPr>
                        <w:t xml:space="preserve"> 2021</w:t>
                      </w:r>
                    </w:p>
                  </w:txbxContent>
                </v:textbox>
                <w10:wrap type="topAndBottom" anchorx="page"/>
              </v:shape>
            </w:pict>
          </mc:Fallback>
        </mc:AlternateContent>
      </w:r>
      <w:r w:rsidR="00AF1DEC">
        <w:rPr>
          <w:b/>
          <w:bCs/>
          <w:i/>
          <w:iCs/>
          <w:color w:val="4472C4" w:themeColor="accent1"/>
          <w:sz w:val="32"/>
          <w:szCs w:val="32"/>
        </w:rPr>
        <w:t>E</w:t>
      </w:r>
      <w:r w:rsidR="00AF1DEC" w:rsidRPr="003444A3">
        <w:rPr>
          <w:b/>
          <w:bCs/>
          <w:i/>
          <w:iCs/>
          <w:color w:val="4472C4" w:themeColor="accent1"/>
          <w:sz w:val="32"/>
          <w:szCs w:val="32"/>
        </w:rPr>
        <w:t>XTRAORDINARY COVID-19 UPDATE</w:t>
      </w:r>
    </w:p>
    <w:p w14:paraId="08192228" w14:textId="5B7296C4" w:rsidR="00825276" w:rsidRPr="00E9309C" w:rsidRDefault="00825276" w:rsidP="00E9309C">
      <w:pPr>
        <w:rPr>
          <w:b/>
          <w:bCs/>
          <w:color w:val="000000"/>
        </w:rPr>
      </w:pPr>
    </w:p>
    <w:p w14:paraId="385584B2" w14:textId="0901DC78" w:rsidR="00825276" w:rsidRPr="00E13A98" w:rsidRDefault="00116EFA" w:rsidP="0059792C">
      <w:pPr>
        <w:pStyle w:val="ListParagraph"/>
        <w:numPr>
          <w:ilvl w:val="0"/>
          <w:numId w:val="8"/>
        </w:numPr>
        <w:rPr>
          <w:b/>
          <w:bCs/>
          <w:color w:val="000000"/>
        </w:rPr>
      </w:pPr>
      <w:hyperlink w:anchor="Mark_1" w:history="1">
        <w:r w:rsidR="006F1FAB" w:rsidRPr="00116EFA">
          <w:rPr>
            <w:rStyle w:val="Hyperlink"/>
            <w:rFonts w:cstheme="minorHAnsi"/>
            <w:b/>
            <w:bCs/>
          </w:rPr>
          <w:t xml:space="preserve">Vaccination of JCVI cohorts 1-4 including additional housebound </w:t>
        </w:r>
        <w:r w:rsidR="00E13A98" w:rsidRPr="00116EFA">
          <w:rPr>
            <w:rStyle w:val="Hyperlink"/>
            <w:rFonts w:cstheme="minorHAnsi"/>
            <w:b/>
            <w:bCs/>
          </w:rPr>
          <w:t>supplement</w:t>
        </w:r>
      </w:hyperlink>
    </w:p>
    <w:p w14:paraId="6E90F7F9" w14:textId="0E58274C" w:rsidR="00E13A98" w:rsidRPr="00E13A98" w:rsidRDefault="00116EFA" w:rsidP="00E13A98">
      <w:pPr>
        <w:pStyle w:val="ListParagraph"/>
        <w:numPr>
          <w:ilvl w:val="0"/>
          <w:numId w:val="8"/>
        </w:numPr>
        <w:rPr>
          <w:b/>
          <w:bCs/>
          <w:color w:val="000000"/>
        </w:rPr>
      </w:pPr>
      <w:hyperlink w:anchor="Mark_2" w:history="1">
        <w:r w:rsidR="00E13A98" w:rsidRPr="00116EFA">
          <w:rPr>
            <w:rStyle w:val="Hyperlink"/>
            <w:rFonts w:eastAsia="Calibri"/>
            <w:b/>
            <w:bCs/>
          </w:rPr>
          <w:t>Movement of AstraZeneca vaccines </w:t>
        </w:r>
      </w:hyperlink>
    </w:p>
    <w:p w14:paraId="531433B8" w14:textId="769EC2C2" w:rsidR="00F94F4F" w:rsidRPr="006E1489" w:rsidRDefault="00116EFA" w:rsidP="0059792C">
      <w:pPr>
        <w:pStyle w:val="ListParagraph"/>
        <w:numPr>
          <w:ilvl w:val="0"/>
          <w:numId w:val="8"/>
        </w:numPr>
        <w:rPr>
          <w:b/>
          <w:bCs/>
          <w:color w:val="000000"/>
        </w:rPr>
      </w:pPr>
      <w:hyperlink w:anchor="Mark_3" w:history="1">
        <w:r w:rsidR="00D92726" w:rsidRPr="00116EFA">
          <w:rPr>
            <w:rStyle w:val="Hyperlink"/>
            <w:rFonts w:eastAsia="Calibri"/>
            <w:b/>
            <w:bCs/>
          </w:rPr>
          <w:t>National call/recall letters to Clinically Extremely Vulnerable people </w:t>
        </w:r>
      </w:hyperlink>
    </w:p>
    <w:p w14:paraId="7ACBC128" w14:textId="766410EF" w:rsidR="006E1489" w:rsidRDefault="00116EFA" w:rsidP="0059792C">
      <w:pPr>
        <w:pStyle w:val="ListParagraph"/>
        <w:numPr>
          <w:ilvl w:val="0"/>
          <w:numId w:val="8"/>
        </w:numPr>
        <w:rPr>
          <w:b/>
          <w:bCs/>
          <w:color w:val="000000"/>
        </w:rPr>
      </w:pPr>
      <w:hyperlink w:anchor="Mark_4" w:history="1">
        <w:r w:rsidR="006E1489" w:rsidRPr="00116EFA">
          <w:rPr>
            <w:rStyle w:val="Hyperlink"/>
            <w:b/>
            <w:bCs/>
          </w:rPr>
          <w:t>Vaccine Cohorts – Message from the COVID Vaccination Team</w:t>
        </w:r>
      </w:hyperlink>
    </w:p>
    <w:p w14:paraId="7CE9E53A" w14:textId="0EA87892" w:rsidR="00E8766D" w:rsidRPr="008B5226" w:rsidRDefault="00116EFA" w:rsidP="008B5226">
      <w:pPr>
        <w:pStyle w:val="ListParagraph"/>
        <w:numPr>
          <w:ilvl w:val="0"/>
          <w:numId w:val="8"/>
        </w:numPr>
        <w:rPr>
          <w:b/>
          <w:bCs/>
          <w:color w:val="000000"/>
        </w:rPr>
      </w:pPr>
      <w:hyperlink w:anchor="Mark_5" w:history="1">
        <w:r w:rsidR="00FC36AB" w:rsidRPr="00116EFA">
          <w:rPr>
            <w:rStyle w:val="Hyperlink"/>
            <w:rFonts w:eastAsia="Calibri"/>
            <w:b/>
            <w:bCs/>
          </w:rPr>
          <w:t>Second doses</w:t>
        </w:r>
      </w:hyperlink>
    </w:p>
    <w:p w14:paraId="0FB3647E" w14:textId="65CFC0A8" w:rsidR="00EB64DB" w:rsidRPr="006E1489" w:rsidRDefault="00116EFA" w:rsidP="006E1489">
      <w:pPr>
        <w:pStyle w:val="ListParagraph"/>
        <w:numPr>
          <w:ilvl w:val="0"/>
          <w:numId w:val="8"/>
        </w:numPr>
      </w:pPr>
      <w:hyperlink w:anchor="Mark_6" w:history="1">
        <w:r w:rsidR="00FC36AB" w:rsidRPr="00116EFA">
          <w:rPr>
            <w:rStyle w:val="Hyperlink"/>
            <w:rFonts w:eastAsia="Times New Roman"/>
            <w:b/>
            <w:bCs/>
          </w:rPr>
          <w:t>New vaccination information helpline and alternative point of care systems   </w:t>
        </w:r>
      </w:hyperlink>
    </w:p>
    <w:p w14:paraId="19B429B1" w14:textId="105E5EAE" w:rsidR="008B5226" w:rsidRDefault="00116EFA" w:rsidP="00EB64DB">
      <w:pPr>
        <w:pStyle w:val="ListParagraph"/>
        <w:numPr>
          <w:ilvl w:val="0"/>
          <w:numId w:val="8"/>
        </w:numPr>
        <w:spacing w:after="0"/>
        <w:ind w:left="714" w:hanging="357"/>
        <w:rPr>
          <w:b/>
          <w:bCs/>
        </w:rPr>
      </w:pPr>
      <w:hyperlink w:anchor="Mark_7" w:history="1">
        <w:r w:rsidRPr="00116EFA">
          <w:rPr>
            <w:rStyle w:val="Hyperlink"/>
            <w:b/>
            <w:bCs/>
          </w:rPr>
          <w:t xml:space="preserve">Vaccinations for </w:t>
        </w:r>
        <w:r w:rsidR="006E1489" w:rsidRPr="00116EFA">
          <w:rPr>
            <w:rStyle w:val="Hyperlink"/>
            <w:b/>
            <w:bCs/>
          </w:rPr>
          <w:t>Health Care Workers on Statutory Leave</w:t>
        </w:r>
      </w:hyperlink>
    </w:p>
    <w:p w14:paraId="3B8C3791" w14:textId="667EC346" w:rsidR="008508A4" w:rsidRDefault="00116EFA" w:rsidP="00EB64DB">
      <w:pPr>
        <w:pStyle w:val="ListParagraph"/>
        <w:numPr>
          <w:ilvl w:val="0"/>
          <w:numId w:val="8"/>
        </w:numPr>
        <w:spacing w:after="0"/>
        <w:ind w:left="714" w:hanging="357"/>
        <w:rPr>
          <w:b/>
          <w:bCs/>
        </w:rPr>
      </w:pPr>
      <w:hyperlink w:anchor="Mark_8" w:history="1">
        <w:r w:rsidR="006E1489" w:rsidRPr="00116EFA">
          <w:rPr>
            <w:rStyle w:val="Hyperlink"/>
            <w:rFonts w:eastAsia="Calibri" w:cstheme="minorHAnsi"/>
            <w:b/>
            <w:bCs/>
          </w:rPr>
          <w:t>Vaccine doses data </w:t>
        </w:r>
      </w:hyperlink>
    </w:p>
    <w:p w14:paraId="6757789E" w14:textId="68485BEF" w:rsidR="00F76452" w:rsidRPr="00DC15B2" w:rsidRDefault="00116EFA" w:rsidP="00EB64DB">
      <w:pPr>
        <w:pStyle w:val="ListParagraph"/>
        <w:numPr>
          <w:ilvl w:val="0"/>
          <w:numId w:val="8"/>
        </w:numPr>
        <w:spacing w:after="0"/>
        <w:ind w:left="714" w:hanging="357"/>
        <w:rPr>
          <w:b/>
          <w:bCs/>
        </w:rPr>
      </w:pPr>
      <w:hyperlink w:anchor="Mark_9" w:history="1">
        <w:r w:rsidR="006E1489" w:rsidRPr="00116EFA">
          <w:rPr>
            <w:rStyle w:val="Hyperlink"/>
            <w:b/>
            <w:bCs/>
          </w:rPr>
          <w:t>Freedom of Information Act Request - UPDATE</w:t>
        </w:r>
      </w:hyperlink>
    </w:p>
    <w:p w14:paraId="02E2D5AA" w14:textId="53301C5C" w:rsidR="00327E09" w:rsidRDefault="00327E09" w:rsidP="00E1257D">
      <w:pPr>
        <w:pStyle w:val="ListParagraph"/>
        <w:rPr>
          <w:rStyle w:val="Hyperlink"/>
          <w:color w:val="auto"/>
          <w:u w:val="none"/>
        </w:rPr>
      </w:pPr>
    </w:p>
    <w:p w14:paraId="77BCD5C7" w14:textId="77777777" w:rsidR="006E1489" w:rsidRDefault="006E1489" w:rsidP="00E1257D">
      <w:pPr>
        <w:pStyle w:val="ListParagraph"/>
        <w:rPr>
          <w:rStyle w:val="Hyperlink"/>
          <w:color w:val="auto"/>
          <w:u w:val="none"/>
        </w:rPr>
      </w:pPr>
    </w:p>
    <w:p w14:paraId="499E7D53" w14:textId="49838E3F" w:rsidR="00295018" w:rsidRDefault="00295018" w:rsidP="00E1257D">
      <w:pPr>
        <w:jc w:val="both"/>
        <w:rPr>
          <w:color w:val="000000"/>
          <w:sz w:val="20"/>
          <w:szCs w:val="20"/>
        </w:rPr>
      </w:pPr>
    </w:p>
    <w:p w14:paraId="5BA69C34" w14:textId="1065A0C5" w:rsidR="006F1FAB" w:rsidRPr="008614C8" w:rsidRDefault="00E9309C" w:rsidP="006F1F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rFonts w:cstheme="minorHAnsi"/>
          <w:b/>
          <w:bCs/>
          <w:color w:val="000000"/>
        </w:rPr>
      </w:pPr>
      <w:r>
        <w:rPr>
          <w:b/>
          <w:bCs/>
          <w:color w:val="000000"/>
          <w:sz w:val="20"/>
          <w:szCs w:val="20"/>
        </w:rPr>
        <w:t>1</w:t>
      </w:r>
      <w:r w:rsidR="00DE71A6" w:rsidRPr="00E9309C">
        <w:rPr>
          <w:b/>
          <w:bCs/>
          <w:color w:val="000000"/>
          <w:sz w:val="20"/>
          <w:szCs w:val="20"/>
        </w:rPr>
        <w:t>.</w:t>
      </w:r>
      <w:r w:rsidR="00DE71A6">
        <w:rPr>
          <w:color w:val="000000"/>
          <w:sz w:val="20"/>
          <w:szCs w:val="20"/>
        </w:rPr>
        <w:tab/>
      </w:r>
      <w:bookmarkStart w:id="1" w:name="Mark_1"/>
      <w:r w:rsidR="006F1FAB" w:rsidRPr="008614C8">
        <w:rPr>
          <w:rFonts w:cstheme="minorHAnsi"/>
          <w:b/>
          <w:bCs/>
          <w:color w:val="000000"/>
        </w:rPr>
        <w:t>Vaccination of JCVI cohorts 1-4</w:t>
      </w:r>
      <w:r w:rsidR="006F1FAB">
        <w:rPr>
          <w:rFonts w:cstheme="minorHAnsi"/>
          <w:b/>
          <w:bCs/>
          <w:color w:val="000000"/>
        </w:rPr>
        <w:t xml:space="preserve"> including additional housebound supplement</w:t>
      </w:r>
      <w:bookmarkEnd w:id="1"/>
    </w:p>
    <w:p w14:paraId="5C648E75" w14:textId="31F41CE9" w:rsidR="006F1FAB" w:rsidRPr="00C143C5" w:rsidRDefault="006F1FAB" w:rsidP="006F1F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C143C5">
        <w:rPr>
          <w:rFonts w:eastAsia="Calibri"/>
          <w:color w:val="000000"/>
          <w:sz w:val="20"/>
          <w:szCs w:val="20"/>
        </w:rPr>
        <w:t xml:space="preserve">NHSE/I wrote a </w:t>
      </w:r>
      <w:hyperlink r:id="rId11" w:history="1">
        <w:r w:rsidRPr="00C143C5">
          <w:rPr>
            <w:rStyle w:val="Hyperlink"/>
            <w:rFonts w:eastAsia="Calibri"/>
            <w:sz w:val="20"/>
            <w:szCs w:val="20"/>
          </w:rPr>
          <w:t>letter to LVS sites</w:t>
        </w:r>
      </w:hyperlink>
      <w:r w:rsidRPr="00C143C5">
        <w:rPr>
          <w:rFonts w:eastAsia="Calibri"/>
          <w:color w:val="000000"/>
          <w:sz w:val="20"/>
          <w:szCs w:val="20"/>
        </w:rPr>
        <w:t xml:space="preserve"> </w:t>
      </w:r>
      <w:r>
        <w:rPr>
          <w:rFonts w:eastAsia="Calibri"/>
          <w:color w:val="000000"/>
          <w:sz w:val="20"/>
          <w:szCs w:val="20"/>
        </w:rPr>
        <w:t>last week</w:t>
      </w:r>
      <w:r w:rsidRPr="00C143C5">
        <w:rPr>
          <w:rFonts w:eastAsia="Calibri"/>
          <w:color w:val="000000"/>
          <w:sz w:val="20"/>
          <w:szCs w:val="20"/>
        </w:rPr>
        <w:t xml:space="preserve">, to remind them that everyone in JCVI cohorts 1-4  should be offered the opportunity to be vaccinated by </w:t>
      </w:r>
      <w:r w:rsidRPr="00C143C5">
        <w:rPr>
          <w:rFonts w:eastAsia="Calibri"/>
          <w:i/>
          <w:iCs/>
          <w:color w:val="000000"/>
          <w:sz w:val="20"/>
          <w:szCs w:val="20"/>
        </w:rPr>
        <w:t>Monday 15 February</w:t>
      </w:r>
      <w:r w:rsidRPr="00C143C5">
        <w:rPr>
          <w:rFonts w:eastAsia="Calibri"/>
          <w:color w:val="000000"/>
          <w:sz w:val="20"/>
          <w:szCs w:val="20"/>
        </w:rPr>
        <w:t>, and to try to minimise any inequalities in vaccine uptake between different patient groups in those cohort wherever possible. NHSE/I are asking each PCN site to confirm that they have made an offer to all patients in cohorts 1-4 by the 15th by filling in the form in this</w:t>
      </w:r>
      <w:hyperlink r:id="rId12" w:history="1">
        <w:r w:rsidRPr="00C143C5">
          <w:rPr>
            <w:rStyle w:val="Hyperlink"/>
            <w:rFonts w:eastAsia="Calibri"/>
            <w:sz w:val="20"/>
            <w:szCs w:val="20"/>
          </w:rPr>
          <w:t xml:space="preserve"> link</w:t>
        </w:r>
      </w:hyperlink>
      <w:r>
        <w:rPr>
          <w:rFonts w:eastAsia="Calibri"/>
          <w:color w:val="000000"/>
          <w:sz w:val="20"/>
          <w:szCs w:val="20"/>
        </w:rPr>
        <w:t xml:space="preserve">. This was requested to be completed by close of play </w:t>
      </w:r>
      <w:proofErr w:type="gramStart"/>
      <w:r>
        <w:rPr>
          <w:rFonts w:eastAsia="Calibri"/>
          <w:color w:val="000000"/>
          <w:sz w:val="20"/>
          <w:szCs w:val="20"/>
        </w:rPr>
        <w:t>08.02.2021</w:t>
      </w:r>
      <w:proofErr w:type="gramEnd"/>
    </w:p>
    <w:p w14:paraId="18BA127F" w14:textId="77777777" w:rsidR="006F1FAB" w:rsidRDefault="006F1FAB" w:rsidP="006F1F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eastAsia="Calibri"/>
          <w:color w:val="000000"/>
          <w:sz w:val="20"/>
          <w:szCs w:val="20"/>
        </w:rPr>
      </w:pPr>
      <w:r w:rsidRPr="00C143C5">
        <w:rPr>
          <w:rFonts w:eastAsia="Calibri"/>
          <w:color w:val="000000"/>
          <w:sz w:val="20"/>
          <w:szCs w:val="20"/>
        </w:rPr>
        <w:t>If a vaccination site does not believe they have sufficient vaccine to complete this, they should contact NHSE/I through their local system as soon as possible so that additional supplies can be provided. </w:t>
      </w:r>
    </w:p>
    <w:p w14:paraId="35644C82" w14:textId="77777777" w:rsidR="006F1FAB" w:rsidRPr="008614C8" w:rsidRDefault="006F1FAB" w:rsidP="006F1F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8614C8">
        <w:rPr>
          <w:rFonts w:eastAsia="Calibri"/>
          <w:color w:val="000000"/>
          <w:sz w:val="20"/>
          <w:szCs w:val="20"/>
        </w:rPr>
        <w:t>The letter also included details about a welcome additional supplement of £10 per visit to a housebound patient to administer the COVID-19 vaccinations. This supplement is on top of the £12.58 Item of Service fee. The supplement applies retrospectively to any first dose vaccinations since 14 December 2020, and second doses within the arrangement. </w:t>
      </w:r>
    </w:p>
    <w:p w14:paraId="63D7DDCF" w14:textId="43572172" w:rsidR="006F1FAB" w:rsidRDefault="008B3DCF" w:rsidP="006F1F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hyperlink r:id="rId13" w:history="1">
        <w:r w:rsidR="006F1FAB" w:rsidRPr="008614C8">
          <w:rPr>
            <w:rStyle w:val="Hyperlink"/>
            <w:sz w:val="20"/>
            <w:szCs w:val="20"/>
          </w:rPr>
          <w:t>Coronavirus » Making the universal offer of vaccination to JCVI cohorts 1-4 ahead of February 15, and additional funding for vaccination of housebound patients (england.nhs.uk)</w:t>
        </w:r>
      </w:hyperlink>
    </w:p>
    <w:p w14:paraId="00AADCE6" w14:textId="77777777" w:rsidR="006F1FAB" w:rsidRDefault="006F1FAB" w:rsidP="006F1FAB">
      <w:pPr>
        <w:rPr>
          <w:color w:val="000000"/>
          <w:sz w:val="20"/>
          <w:szCs w:val="20"/>
        </w:rPr>
      </w:pPr>
    </w:p>
    <w:p w14:paraId="56F4D2CA" w14:textId="6B652C15" w:rsidR="00DE71A6" w:rsidRDefault="00DE71A6" w:rsidP="006F1FAB">
      <w:pPr>
        <w:spacing w:before="150" w:after="150"/>
        <w:rPr>
          <w:color w:val="000000"/>
          <w:sz w:val="20"/>
          <w:szCs w:val="20"/>
        </w:rPr>
      </w:pPr>
    </w:p>
    <w:p w14:paraId="2C2CF141" w14:textId="77777777" w:rsidR="006E1489" w:rsidRDefault="006E1489" w:rsidP="00E1257D">
      <w:pPr>
        <w:jc w:val="both"/>
        <w:rPr>
          <w:color w:val="000000"/>
          <w:sz w:val="20"/>
          <w:szCs w:val="20"/>
        </w:rPr>
      </w:pPr>
    </w:p>
    <w:p w14:paraId="3A26490D" w14:textId="69CD3C5B" w:rsidR="00E9309C" w:rsidRDefault="00E9309C" w:rsidP="00E1257D">
      <w:pPr>
        <w:jc w:val="both"/>
        <w:rPr>
          <w:color w:val="000000"/>
          <w:sz w:val="20"/>
          <w:szCs w:val="20"/>
        </w:rPr>
      </w:pPr>
    </w:p>
    <w:p w14:paraId="01915796" w14:textId="3FD9D7E1" w:rsidR="00E9309C" w:rsidRDefault="00E9309C" w:rsidP="00E1257D">
      <w:pPr>
        <w:jc w:val="both"/>
        <w:rPr>
          <w:color w:val="000000"/>
          <w:sz w:val="20"/>
          <w:szCs w:val="20"/>
        </w:rPr>
      </w:pPr>
    </w:p>
    <w:p w14:paraId="6349618B" w14:textId="77777777" w:rsidR="0068663F" w:rsidRPr="00427360" w:rsidRDefault="0068663F" w:rsidP="0068663F">
      <w:pPr>
        <w:jc w:val="both"/>
        <w:rPr>
          <w:color w:val="000000"/>
          <w:sz w:val="20"/>
          <w:szCs w:val="20"/>
        </w:rPr>
      </w:pPr>
    </w:p>
    <w:p w14:paraId="112FFBBF" w14:textId="77777777" w:rsidR="0068663F" w:rsidRPr="00427360"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b/>
          <w:bCs/>
          <w:color w:val="000000"/>
        </w:rPr>
      </w:pPr>
      <w:r>
        <w:rPr>
          <w:b/>
          <w:bCs/>
          <w:color w:val="000000"/>
          <w:sz w:val="20"/>
          <w:szCs w:val="20"/>
        </w:rPr>
        <w:t>2</w:t>
      </w:r>
      <w:r w:rsidRPr="00E9309C">
        <w:rPr>
          <w:b/>
          <w:bCs/>
          <w:color w:val="000000"/>
          <w:sz w:val="20"/>
          <w:szCs w:val="20"/>
        </w:rPr>
        <w:t>.</w:t>
      </w:r>
      <w:r>
        <w:rPr>
          <w:color w:val="000000"/>
          <w:sz w:val="20"/>
          <w:szCs w:val="20"/>
        </w:rPr>
        <w:tab/>
      </w:r>
      <w:bookmarkStart w:id="2" w:name="Mark_2"/>
      <w:r w:rsidRPr="00427360">
        <w:rPr>
          <w:rFonts w:eastAsia="Calibri"/>
          <w:b/>
          <w:bCs/>
          <w:color w:val="000000"/>
        </w:rPr>
        <w:t>Movement of AstraZeneca vaccines </w:t>
      </w:r>
      <w:bookmarkEnd w:id="2"/>
    </w:p>
    <w:p w14:paraId="78D99797" w14:textId="77777777" w:rsidR="0068663F" w:rsidRPr="00427360"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427360">
        <w:rPr>
          <w:rFonts w:eastAsia="Calibri"/>
          <w:color w:val="000000"/>
          <w:sz w:val="20"/>
          <w:szCs w:val="20"/>
        </w:rPr>
        <w:t xml:space="preserve">Moving the AstraZeneca/Oxford vaccine between locations across a single PCN grouping is both encouraged and legal if it will help minimise inequalities, maximise access and ensure timely vaccine usage. </w:t>
      </w:r>
      <w:r>
        <w:rPr>
          <w:rFonts w:eastAsia="Calibri"/>
          <w:color w:val="000000"/>
          <w:sz w:val="20"/>
          <w:szCs w:val="20"/>
        </w:rPr>
        <w:t xml:space="preserve">The </w:t>
      </w:r>
      <w:proofErr w:type="gramStart"/>
      <w:r>
        <w:rPr>
          <w:rFonts w:eastAsia="Calibri"/>
          <w:color w:val="000000"/>
          <w:sz w:val="20"/>
          <w:szCs w:val="20"/>
        </w:rPr>
        <w:t xml:space="preserve">BMA </w:t>
      </w:r>
      <w:r w:rsidRPr="00427360">
        <w:rPr>
          <w:rFonts w:eastAsia="Calibri"/>
          <w:color w:val="000000"/>
          <w:sz w:val="20"/>
          <w:szCs w:val="20"/>
        </w:rPr>
        <w:t xml:space="preserve"> believe</w:t>
      </w:r>
      <w:proofErr w:type="gramEnd"/>
      <w:r w:rsidRPr="00427360">
        <w:rPr>
          <w:rFonts w:eastAsia="Calibri"/>
          <w:color w:val="000000"/>
          <w:sz w:val="20"/>
          <w:szCs w:val="20"/>
        </w:rPr>
        <w:t xml:space="preserve"> the delivery of vaccination from local practices will enable more patients to access and receive the vaccine and would expect local systems to support this. The </w:t>
      </w:r>
      <w:hyperlink r:id="rId14" w:history="1">
        <w:r w:rsidRPr="00427360">
          <w:rPr>
            <w:rStyle w:val="Hyperlink"/>
            <w:rFonts w:eastAsia="Calibri"/>
            <w:sz w:val="20"/>
            <w:szCs w:val="20"/>
          </w:rPr>
          <w:t>Standard Operating Procedures</w:t>
        </w:r>
      </w:hyperlink>
      <w:r w:rsidRPr="00427360">
        <w:rPr>
          <w:rFonts w:eastAsia="Calibri"/>
          <w:color w:val="FF0000"/>
          <w:sz w:val="20"/>
          <w:szCs w:val="20"/>
        </w:rPr>
        <w:t xml:space="preserve">, </w:t>
      </w:r>
      <w:r w:rsidRPr="00427360">
        <w:rPr>
          <w:rFonts w:eastAsia="Calibri"/>
          <w:color w:val="000000"/>
          <w:sz w:val="20"/>
          <w:szCs w:val="20"/>
        </w:rPr>
        <w:t>outlines the cold chain arrangements which need to be adhered to do this. See more information in the NHSE/I letter of</w:t>
      </w:r>
      <w:r w:rsidRPr="00427360">
        <w:rPr>
          <w:rFonts w:eastAsia="Calibri"/>
          <w:color w:val="FF0000"/>
          <w:sz w:val="20"/>
          <w:szCs w:val="20"/>
        </w:rPr>
        <w:t xml:space="preserve"> </w:t>
      </w:r>
      <w:hyperlink r:id="rId15" w:history="1">
        <w:r w:rsidRPr="00427360">
          <w:rPr>
            <w:rStyle w:val="Hyperlink"/>
            <w:rFonts w:eastAsia="Calibri"/>
            <w:sz w:val="20"/>
            <w:szCs w:val="20"/>
          </w:rPr>
          <w:t>7 January 2021</w:t>
        </w:r>
      </w:hyperlink>
      <w:r w:rsidRPr="00427360">
        <w:rPr>
          <w:rFonts w:eastAsia="Calibri"/>
          <w:color w:val="FF0000"/>
          <w:sz w:val="20"/>
          <w:szCs w:val="20"/>
        </w:rPr>
        <w:t>.  </w:t>
      </w:r>
    </w:p>
    <w:p w14:paraId="4E996774" w14:textId="77777777" w:rsidR="0068663F" w:rsidRPr="00427360"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427360">
        <w:rPr>
          <w:rFonts w:eastAsia="Calibri"/>
          <w:color w:val="000000" w:themeColor="text1"/>
          <w:sz w:val="20"/>
          <w:szCs w:val="20"/>
        </w:rPr>
        <w:t xml:space="preserve">NHSE/I has also published a </w:t>
      </w:r>
      <w:hyperlink r:id="rId16" w:history="1">
        <w:r w:rsidRPr="00427360">
          <w:rPr>
            <w:rStyle w:val="Hyperlink"/>
            <w:rFonts w:eastAsia="Calibri"/>
            <w:sz w:val="20"/>
            <w:szCs w:val="20"/>
          </w:rPr>
          <w:t>position statement for the vaccination of care home residents using COVID-19 Vaccine AstraZeneca (AZ)</w:t>
        </w:r>
      </w:hyperlink>
      <w:r w:rsidRPr="00427360">
        <w:rPr>
          <w:rFonts w:eastAsia="Calibri"/>
          <w:color w:val="000000" w:themeColor="text1"/>
          <w:sz w:val="20"/>
          <w:szCs w:val="20"/>
        </w:rPr>
        <w:t>, recommending that when planning a vaccination session for local care homes, a risk assessment should be undertaken to identify the risk factors associated with the transfer of the vaccine for administration to remaining care home patients.  </w:t>
      </w:r>
    </w:p>
    <w:p w14:paraId="6E22A0AF" w14:textId="77777777" w:rsidR="0068663F"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eastAsia="Calibri"/>
          <w:color w:val="000000" w:themeColor="text1"/>
          <w:sz w:val="20"/>
          <w:szCs w:val="20"/>
        </w:rPr>
      </w:pPr>
      <w:r w:rsidRPr="00427360">
        <w:rPr>
          <w:rFonts w:eastAsia="Calibri"/>
          <w:color w:val="000000" w:themeColor="text1"/>
          <w:sz w:val="20"/>
          <w:szCs w:val="20"/>
        </w:rPr>
        <w:t xml:space="preserve">Annex B of the recent NHSE/I document </w:t>
      </w:r>
      <w:hyperlink r:id="rId17" w:history="1">
        <w:r w:rsidRPr="00427360">
          <w:rPr>
            <w:rStyle w:val="Hyperlink"/>
            <w:rFonts w:eastAsia="Calibri"/>
            <w:sz w:val="20"/>
            <w:szCs w:val="20"/>
          </w:rPr>
          <w:t>Mutual aid and the transfer of COVID-19 vaccines between Hospital Hubs, Vaccination Centres and Local Vaccination Services</w:t>
        </w:r>
      </w:hyperlink>
      <w:r w:rsidRPr="00427360">
        <w:rPr>
          <w:rFonts w:eastAsia="Calibri"/>
          <w:color w:val="000000" w:themeColor="text1"/>
          <w:sz w:val="20"/>
          <w:szCs w:val="20"/>
        </w:rPr>
        <w:t xml:space="preserve"> sets out that as long as the relevant guidance is followed, local commissioners should be offering a supportive role in facilitating the movement of the AZ vaccine within a PCN grouping and do not need to seek formal approval for moving the vaccine in line with the arrangements set out in the letter. It also advises that once moved, the vaccine should either be administered or immediately put in a refrigerator at a practice site within the PCN grouping, and ideally administered within 24 hours or over the following days. </w:t>
      </w:r>
    </w:p>
    <w:p w14:paraId="417B47B8" w14:textId="77777777" w:rsidR="0068663F" w:rsidRDefault="0068663F" w:rsidP="0068663F">
      <w:pPr>
        <w:jc w:val="both"/>
        <w:rPr>
          <w:rFonts w:eastAsia="Times New Roman"/>
          <w:color w:val="000000"/>
          <w:sz w:val="20"/>
          <w:szCs w:val="20"/>
        </w:rPr>
      </w:pPr>
    </w:p>
    <w:p w14:paraId="708B772E" w14:textId="77777777" w:rsidR="0068663F" w:rsidRDefault="0068663F" w:rsidP="0068663F">
      <w:pPr>
        <w:jc w:val="center"/>
        <w:rPr>
          <w:color w:val="000000"/>
          <w:sz w:val="20"/>
          <w:szCs w:val="20"/>
        </w:rPr>
      </w:pPr>
    </w:p>
    <w:p w14:paraId="31680E3C" w14:textId="77777777" w:rsidR="0068663F" w:rsidRPr="00427360"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b/>
          <w:bCs/>
          <w:color w:val="000000"/>
        </w:rPr>
      </w:pPr>
      <w:r>
        <w:rPr>
          <w:b/>
          <w:bCs/>
          <w:color w:val="000000"/>
          <w:sz w:val="20"/>
          <w:szCs w:val="20"/>
        </w:rPr>
        <w:t>3</w:t>
      </w:r>
      <w:r w:rsidRPr="00B9088A">
        <w:rPr>
          <w:b/>
          <w:bCs/>
          <w:color w:val="000000"/>
          <w:sz w:val="20"/>
          <w:szCs w:val="20"/>
        </w:rPr>
        <w:t>.</w:t>
      </w:r>
      <w:r w:rsidRPr="00B9088A">
        <w:rPr>
          <w:b/>
          <w:bCs/>
          <w:color w:val="000000"/>
          <w:sz w:val="20"/>
          <w:szCs w:val="20"/>
        </w:rPr>
        <w:tab/>
      </w:r>
      <w:bookmarkStart w:id="3" w:name="Mark_3"/>
      <w:r w:rsidRPr="00427360">
        <w:rPr>
          <w:rFonts w:eastAsia="Calibri"/>
          <w:b/>
          <w:bCs/>
          <w:color w:val="000000" w:themeColor="text1"/>
        </w:rPr>
        <w:t>National call/recall letters to Clinically Extremely Vulnerable people </w:t>
      </w:r>
      <w:bookmarkEnd w:id="3"/>
    </w:p>
    <w:p w14:paraId="7FF6CFD0" w14:textId="77777777" w:rsidR="0068663F" w:rsidRPr="00427360"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427360">
        <w:rPr>
          <w:rFonts w:eastAsia="Calibri"/>
          <w:color w:val="000000" w:themeColor="text1"/>
          <w:sz w:val="20"/>
          <w:szCs w:val="20"/>
        </w:rPr>
        <w:t xml:space="preserve">As of 3 February, people aged 18 and over in the clinically extremely vulnerable (CEV) cohort (as identified through the </w:t>
      </w:r>
      <w:hyperlink r:id="rId18" w:history="1">
        <w:r w:rsidRPr="00427360">
          <w:rPr>
            <w:rStyle w:val="Hyperlink"/>
            <w:rFonts w:eastAsia="Calibri"/>
            <w:sz w:val="20"/>
            <w:szCs w:val="20"/>
          </w:rPr>
          <w:t>Shielded Patient List</w:t>
        </w:r>
      </w:hyperlink>
      <w:r w:rsidRPr="00427360">
        <w:rPr>
          <w:rFonts w:eastAsia="Calibri"/>
          <w:color w:val="000000" w:themeColor="text1"/>
          <w:sz w:val="20"/>
          <w:szCs w:val="20"/>
        </w:rPr>
        <w:t xml:space="preserve">) will receive letters from the national call/recall service informing them that they are now eligible to receive their COVID-19 vaccine. The letters make it clear that people have a choice of where to get vaccinated and can choose to wait for their GP services to contact them directly, if they </w:t>
      </w:r>
      <w:proofErr w:type="gramStart"/>
      <w:r w:rsidRPr="00427360">
        <w:rPr>
          <w:rFonts w:eastAsia="Calibri"/>
          <w:color w:val="000000" w:themeColor="text1"/>
          <w:sz w:val="20"/>
          <w:szCs w:val="20"/>
        </w:rPr>
        <w:t>haven’t</w:t>
      </w:r>
      <w:proofErr w:type="gramEnd"/>
      <w:r w:rsidRPr="00427360">
        <w:rPr>
          <w:rFonts w:eastAsia="Calibri"/>
          <w:color w:val="000000" w:themeColor="text1"/>
          <w:sz w:val="20"/>
          <w:szCs w:val="20"/>
        </w:rPr>
        <w:t xml:space="preserve"> already, or book into a vaccination centre or community pharmacy. A </w:t>
      </w:r>
      <w:hyperlink r:id="rId19" w:history="1">
        <w:r w:rsidRPr="00427360">
          <w:rPr>
            <w:rStyle w:val="Hyperlink"/>
            <w:rFonts w:eastAsia="Calibri"/>
            <w:sz w:val="20"/>
            <w:szCs w:val="20"/>
          </w:rPr>
          <w:t>copy of the letter and a PCN letter template</w:t>
        </w:r>
      </w:hyperlink>
      <w:r>
        <w:rPr>
          <w:color w:val="000000"/>
          <w:sz w:val="20"/>
          <w:szCs w:val="20"/>
        </w:rPr>
        <w:t xml:space="preserve"> (Enc.1)</w:t>
      </w:r>
      <w:r w:rsidRPr="00427360">
        <w:rPr>
          <w:rFonts w:eastAsia="Calibri"/>
          <w:color w:val="000000" w:themeColor="text1"/>
          <w:sz w:val="20"/>
          <w:szCs w:val="20"/>
        </w:rPr>
        <w:t xml:space="preserve"> are available in the letter pack on the </w:t>
      </w:r>
      <w:hyperlink r:id="rId20" w:history="1">
        <w:proofErr w:type="spellStart"/>
        <w:r w:rsidRPr="00427360">
          <w:rPr>
            <w:rStyle w:val="Hyperlink"/>
            <w:rFonts w:eastAsia="Calibri"/>
            <w:sz w:val="20"/>
            <w:szCs w:val="20"/>
          </w:rPr>
          <w:t>FutureNHS</w:t>
        </w:r>
        <w:proofErr w:type="spellEnd"/>
        <w:r w:rsidRPr="00427360">
          <w:rPr>
            <w:rStyle w:val="Hyperlink"/>
            <w:rFonts w:eastAsia="Calibri"/>
            <w:sz w:val="20"/>
            <w:szCs w:val="20"/>
          </w:rPr>
          <w:t xml:space="preserve"> platform</w:t>
        </w:r>
      </w:hyperlink>
      <w:r w:rsidRPr="00427360">
        <w:rPr>
          <w:rFonts w:eastAsia="Calibri"/>
          <w:color w:val="000000" w:themeColor="text1"/>
          <w:sz w:val="20"/>
          <w:szCs w:val="20"/>
        </w:rPr>
        <w:t xml:space="preserve"> (sign in required). </w:t>
      </w:r>
    </w:p>
    <w:p w14:paraId="3A8F4B5C" w14:textId="77777777" w:rsidR="0068663F"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eastAsia="Calibri"/>
          <w:color w:val="000000"/>
          <w:sz w:val="20"/>
          <w:szCs w:val="20"/>
        </w:rPr>
      </w:pPr>
      <w:r w:rsidRPr="00427360">
        <w:rPr>
          <w:rFonts w:eastAsia="Calibri"/>
          <w:color w:val="000000"/>
          <w:sz w:val="20"/>
          <w:szCs w:val="20"/>
        </w:rPr>
        <w:t xml:space="preserve">It is concerning that these letters are not directly linked to a patient’s local GP vaccination service, nor the stage at which the local area has reached in terms of vaccination coverage, and </w:t>
      </w:r>
      <w:r>
        <w:rPr>
          <w:rFonts w:eastAsia="Calibri"/>
          <w:color w:val="000000"/>
          <w:sz w:val="20"/>
          <w:szCs w:val="20"/>
        </w:rPr>
        <w:t>the BMA</w:t>
      </w:r>
      <w:r w:rsidRPr="00427360">
        <w:rPr>
          <w:rFonts w:eastAsia="Calibri"/>
          <w:color w:val="000000"/>
          <w:sz w:val="20"/>
          <w:szCs w:val="20"/>
        </w:rPr>
        <w:t xml:space="preserve"> are continuing to discuss how to improve this with NHSE/I.  </w:t>
      </w:r>
    </w:p>
    <w:p w14:paraId="264AD85F" w14:textId="77777777" w:rsidR="0068663F" w:rsidRDefault="0068663F" w:rsidP="0068663F">
      <w:pPr>
        <w:jc w:val="both"/>
        <w:rPr>
          <w:rFonts w:eastAsia="Calibri"/>
          <w:color w:val="000000"/>
          <w:sz w:val="20"/>
          <w:szCs w:val="20"/>
        </w:rPr>
      </w:pPr>
    </w:p>
    <w:p w14:paraId="556D66E9" w14:textId="205B8716" w:rsidR="0068663F" w:rsidRDefault="0068663F" w:rsidP="0068663F">
      <w:pPr>
        <w:rPr>
          <w:b/>
          <w:bCs/>
        </w:rPr>
      </w:pPr>
    </w:p>
    <w:p w14:paraId="725A10E9" w14:textId="0447A426" w:rsidR="0068663F" w:rsidRDefault="0068663F" w:rsidP="0068663F">
      <w:pPr>
        <w:rPr>
          <w:b/>
          <w:bCs/>
        </w:rPr>
      </w:pPr>
    </w:p>
    <w:p w14:paraId="4B70EFB0" w14:textId="46A82162" w:rsidR="0068663F" w:rsidRDefault="0068663F" w:rsidP="0068663F">
      <w:pPr>
        <w:rPr>
          <w:b/>
          <w:bCs/>
        </w:rPr>
      </w:pPr>
    </w:p>
    <w:p w14:paraId="3B157C67" w14:textId="77777777" w:rsidR="0068663F" w:rsidRDefault="0068663F" w:rsidP="0068663F">
      <w:pPr>
        <w:rPr>
          <w:b/>
          <w:bCs/>
        </w:rPr>
      </w:pPr>
    </w:p>
    <w:p w14:paraId="681F391C" w14:textId="54F1C73D" w:rsidR="0068663F" w:rsidRDefault="0068663F" w:rsidP="0068663F">
      <w:pPr>
        <w:rPr>
          <w:b/>
          <w:bCs/>
        </w:rPr>
      </w:pPr>
    </w:p>
    <w:p w14:paraId="4F7F40A7" w14:textId="0BAAC5B2" w:rsidR="0068663F" w:rsidRDefault="0068663F" w:rsidP="0068663F">
      <w:pPr>
        <w:rPr>
          <w:b/>
          <w:bCs/>
        </w:rPr>
      </w:pPr>
    </w:p>
    <w:p w14:paraId="316EE959" w14:textId="77777777" w:rsidR="006E1489" w:rsidRDefault="006E1489" w:rsidP="0068663F">
      <w:pPr>
        <w:rPr>
          <w:b/>
          <w:bCs/>
        </w:rPr>
      </w:pPr>
    </w:p>
    <w:p w14:paraId="0C58FD1B" w14:textId="0B4B6229" w:rsidR="0068663F" w:rsidRPr="00C82FEE"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b/>
          <w:bCs/>
        </w:rPr>
      </w:pPr>
      <w:r>
        <w:rPr>
          <w:b/>
          <w:bCs/>
        </w:rPr>
        <w:t>4.</w:t>
      </w:r>
      <w:r>
        <w:rPr>
          <w:b/>
          <w:bCs/>
        </w:rPr>
        <w:tab/>
      </w:r>
      <w:bookmarkStart w:id="4" w:name="Mark_4"/>
      <w:r w:rsidRPr="00C82FEE">
        <w:rPr>
          <w:b/>
          <w:bCs/>
        </w:rPr>
        <w:t>Vaccine Cohorts – Message from the COVID Vaccination Team</w:t>
      </w:r>
    </w:p>
    <w:bookmarkEnd w:id="4"/>
    <w:p w14:paraId="4CF2AF1A" w14:textId="6F00F84D" w:rsidR="0068663F" w:rsidRPr="00C82FEE" w:rsidRDefault="0068663F" w:rsidP="0068663F">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sz w:val="20"/>
          <w:szCs w:val="20"/>
        </w:rPr>
      </w:pPr>
      <w:r w:rsidRPr="00C82FEE">
        <w:rPr>
          <w:sz w:val="20"/>
          <w:szCs w:val="20"/>
        </w:rPr>
        <w:t>Please see the message below received from the COVID Vaccination Team</w:t>
      </w:r>
      <w:r w:rsidR="005B491C">
        <w:rPr>
          <w:sz w:val="20"/>
          <w:szCs w:val="20"/>
        </w:rPr>
        <w:t xml:space="preserve"> on 06.02.2021</w:t>
      </w:r>
      <w:r w:rsidRPr="00C82FEE">
        <w:rPr>
          <w:sz w:val="20"/>
          <w:szCs w:val="20"/>
        </w:rPr>
        <w:t xml:space="preserve"> with regards to the circumstances whereby vaccinating patients outside o</w:t>
      </w:r>
      <w:r w:rsidR="00116EFA">
        <w:rPr>
          <w:sz w:val="20"/>
          <w:szCs w:val="20"/>
        </w:rPr>
        <w:t>f</w:t>
      </w:r>
      <w:r w:rsidRPr="00C82FEE">
        <w:rPr>
          <w:sz w:val="20"/>
          <w:szCs w:val="20"/>
        </w:rPr>
        <w:t xml:space="preserve"> JCVI Cohorts 1-4 is permissibl</w:t>
      </w:r>
      <w:r>
        <w:rPr>
          <w:sz w:val="20"/>
          <w:szCs w:val="20"/>
        </w:rPr>
        <w:t>e.</w:t>
      </w:r>
    </w:p>
    <w:p w14:paraId="0A631C97" w14:textId="0DE5D363" w:rsidR="0068663F" w:rsidRDefault="0068663F" w:rsidP="006F1FAB">
      <w:pPr>
        <w:jc w:val="both"/>
        <w:rPr>
          <w:rFonts w:eastAsia="Calibri"/>
          <w:color w:val="000000"/>
          <w:sz w:val="20"/>
          <w:szCs w:val="20"/>
        </w:rPr>
      </w:pPr>
      <w:r>
        <w:rPr>
          <w:noProof/>
        </w:rPr>
        <w:drawing>
          <wp:anchor distT="0" distB="0" distL="114300" distR="114300" simplePos="0" relativeHeight="251661312" behindDoc="0" locked="0" layoutInCell="1" allowOverlap="1" wp14:anchorId="582CEF4A" wp14:editId="4D6053FE">
            <wp:simplePos x="0" y="0"/>
            <wp:positionH relativeFrom="margin">
              <wp:posOffset>152400</wp:posOffset>
            </wp:positionH>
            <wp:positionV relativeFrom="paragraph">
              <wp:posOffset>177800</wp:posOffset>
            </wp:positionV>
            <wp:extent cx="4949825" cy="699516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49825" cy="699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0616E" w14:textId="1FE6AC94" w:rsidR="0068663F" w:rsidRDefault="0068663F" w:rsidP="006F1FAB">
      <w:pPr>
        <w:jc w:val="both"/>
        <w:rPr>
          <w:rFonts w:eastAsia="Calibri"/>
          <w:color w:val="000000"/>
          <w:sz w:val="20"/>
          <w:szCs w:val="20"/>
        </w:rPr>
      </w:pPr>
    </w:p>
    <w:p w14:paraId="6F7767BB" w14:textId="52D35317" w:rsidR="0068663F" w:rsidRDefault="0068663F" w:rsidP="006F1FAB">
      <w:pPr>
        <w:jc w:val="both"/>
        <w:rPr>
          <w:rFonts w:eastAsia="Calibri"/>
          <w:color w:val="000000"/>
          <w:sz w:val="20"/>
          <w:szCs w:val="20"/>
        </w:rPr>
      </w:pPr>
    </w:p>
    <w:p w14:paraId="10277166" w14:textId="543619F0" w:rsidR="0068663F" w:rsidRDefault="0068663F" w:rsidP="006F1FAB">
      <w:pPr>
        <w:jc w:val="both"/>
        <w:rPr>
          <w:rFonts w:eastAsia="Calibri"/>
          <w:color w:val="000000"/>
          <w:sz w:val="20"/>
          <w:szCs w:val="20"/>
        </w:rPr>
      </w:pPr>
    </w:p>
    <w:p w14:paraId="3A8DFBC2" w14:textId="740006B5" w:rsidR="0068663F" w:rsidRDefault="0068663F" w:rsidP="006F1FAB">
      <w:pPr>
        <w:jc w:val="both"/>
        <w:rPr>
          <w:rFonts w:eastAsia="Calibri"/>
          <w:color w:val="000000"/>
          <w:sz w:val="20"/>
          <w:szCs w:val="20"/>
        </w:rPr>
      </w:pPr>
    </w:p>
    <w:p w14:paraId="400E47AA" w14:textId="7EE00C9C" w:rsidR="0068663F" w:rsidRDefault="0068663F" w:rsidP="006F1FAB">
      <w:pPr>
        <w:jc w:val="both"/>
        <w:rPr>
          <w:rFonts w:eastAsia="Calibri"/>
          <w:color w:val="000000"/>
          <w:sz w:val="20"/>
          <w:szCs w:val="20"/>
        </w:rPr>
      </w:pPr>
    </w:p>
    <w:p w14:paraId="7450C44A" w14:textId="59874264" w:rsidR="0068663F" w:rsidRDefault="0068663F" w:rsidP="006F1FAB">
      <w:pPr>
        <w:jc w:val="both"/>
        <w:rPr>
          <w:rFonts w:eastAsia="Calibri"/>
          <w:color w:val="000000"/>
          <w:sz w:val="20"/>
          <w:szCs w:val="20"/>
        </w:rPr>
      </w:pPr>
    </w:p>
    <w:p w14:paraId="350AEBBE" w14:textId="7F02A3B3" w:rsidR="0068663F" w:rsidRDefault="0068663F" w:rsidP="006F1FAB">
      <w:pPr>
        <w:jc w:val="both"/>
        <w:rPr>
          <w:rFonts w:eastAsia="Calibri"/>
          <w:color w:val="000000"/>
          <w:sz w:val="20"/>
          <w:szCs w:val="20"/>
        </w:rPr>
      </w:pPr>
    </w:p>
    <w:p w14:paraId="234EF567" w14:textId="27292F23" w:rsidR="0068663F" w:rsidRDefault="0068663F" w:rsidP="006F1FAB">
      <w:pPr>
        <w:jc w:val="both"/>
        <w:rPr>
          <w:rFonts w:eastAsia="Calibri"/>
          <w:color w:val="000000"/>
          <w:sz w:val="20"/>
          <w:szCs w:val="20"/>
        </w:rPr>
      </w:pPr>
    </w:p>
    <w:p w14:paraId="72020676" w14:textId="52BED846" w:rsidR="0068663F" w:rsidRDefault="0068663F" w:rsidP="006F1FAB">
      <w:pPr>
        <w:jc w:val="both"/>
        <w:rPr>
          <w:rFonts w:eastAsia="Calibri"/>
          <w:color w:val="000000"/>
          <w:sz w:val="20"/>
          <w:szCs w:val="20"/>
        </w:rPr>
      </w:pPr>
    </w:p>
    <w:p w14:paraId="7E7BD58F" w14:textId="6FBCD0DF" w:rsidR="0068663F" w:rsidRDefault="0068663F" w:rsidP="006F1FAB">
      <w:pPr>
        <w:jc w:val="both"/>
        <w:rPr>
          <w:rFonts w:eastAsia="Calibri"/>
          <w:color w:val="000000"/>
          <w:sz w:val="20"/>
          <w:szCs w:val="20"/>
        </w:rPr>
      </w:pPr>
    </w:p>
    <w:p w14:paraId="39A5FA04" w14:textId="2F7540CC" w:rsidR="0068663F" w:rsidRDefault="0068663F" w:rsidP="006F1FAB">
      <w:pPr>
        <w:jc w:val="both"/>
        <w:rPr>
          <w:rFonts w:eastAsia="Calibri"/>
          <w:color w:val="000000"/>
          <w:sz w:val="20"/>
          <w:szCs w:val="20"/>
        </w:rPr>
      </w:pPr>
    </w:p>
    <w:p w14:paraId="4043A7AE" w14:textId="7E848251" w:rsidR="0068663F" w:rsidRDefault="0068663F" w:rsidP="006F1FAB">
      <w:pPr>
        <w:jc w:val="both"/>
        <w:rPr>
          <w:rFonts w:eastAsia="Calibri"/>
          <w:color w:val="000000"/>
          <w:sz w:val="20"/>
          <w:szCs w:val="20"/>
        </w:rPr>
      </w:pPr>
    </w:p>
    <w:p w14:paraId="3C8861E6" w14:textId="572093CA" w:rsidR="0068663F" w:rsidRDefault="0068663F" w:rsidP="006F1FAB">
      <w:pPr>
        <w:jc w:val="both"/>
        <w:rPr>
          <w:rFonts w:eastAsia="Calibri"/>
          <w:color w:val="000000"/>
          <w:sz w:val="20"/>
          <w:szCs w:val="20"/>
        </w:rPr>
      </w:pPr>
    </w:p>
    <w:p w14:paraId="17D2810E" w14:textId="01ADB34E" w:rsidR="0068663F" w:rsidRDefault="0068663F" w:rsidP="006F1FAB">
      <w:pPr>
        <w:jc w:val="both"/>
        <w:rPr>
          <w:rFonts w:eastAsia="Calibri"/>
          <w:color w:val="000000"/>
          <w:sz w:val="20"/>
          <w:szCs w:val="20"/>
        </w:rPr>
      </w:pPr>
    </w:p>
    <w:p w14:paraId="7FC47A2B" w14:textId="2F8FC4BA" w:rsidR="0068663F" w:rsidRDefault="0068663F" w:rsidP="006F1FAB">
      <w:pPr>
        <w:jc w:val="both"/>
        <w:rPr>
          <w:rFonts w:eastAsia="Calibri"/>
          <w:color w:val="000000"/>
          <w:sz w:val="20"/>
          <w:szCs w:val="20"/>
        </w:rPr>
      </w:pPr>
    </w:p>
    <w:p w14:paraId="397ADCC7" w14:textId="39748387" w:rsidR="0068663F" w:rsidRDefault="0068663F" w:rsidP="006F1FAB">
      <w:pPr>
        <w:jc w:val="both"/>
        <w:rPr>
          <w:rFonts w:eastAsia="Calibri"/>
          <w:color w:val="000000"/>
          <w:sz w:val="20"/>
          <w:szCs w:val="20"/>
        </w:rPr>
      </w:pPr>
    </w:p>
    <w:p w14:paraId="45E6A597" w14:textId="3C6B59A3" w:rsidR="0068663F" w:rsidRDefault="0068663F" w:rsidP="006F1FAB">
      <w:pPr>
        <w:jc w:val="both"/>
        <w:rPr>
          <w:rFonts w:eastAsia="Calibri"/>
          <w:color w:val="000000"/>
          <w:sz w:val="20"/>
          <w:szCs w:val="20"/>
        </w:rPr>
      </w:pPr>
    </w:p>
    <w:p w14:paraId="7D5A9C80" w14:textId="77777777" w:rsidR="0068663F" w:rsidRDefault="0068663F" w:rsidP="006F1FAB">
      <w:pPr>
        <w:jc w:val="both"/>
        <w:rPr>
          <w:rFonts w:eastAsia="Calibri"/>
          <w:color w:val="000000"/>
          <w:sz w:val="20"/>
          <w:szCs w:val="20"/>
        </w:rPr>
      </w:pPr>
    </w:p>
    <w:p w14:paraId="1312B595" w14:textId="6975F484" w:rsidR="006F1FAB" w:rsidRDefault="006F1FAB" w:rsidP="006F1FAB">
      <w:pPr>
        <w:jc w:val="both"/>
        <w:rPr>
          <w:color w:val="000000"/>
          <w:sz w:val="20"/>
          <w:szCs w:val="20"/>
        </w:rPr>
      </w:pPr>
    </w:p>
    <w:p w14:paraId="6D325E37" w14:textId="40556442" w:rsidR="0068663F" w:rsidRDefault="0068663F" w:rsidP="006F1FAB">
      <w:pPr>
        <w:jc w:val="both"/>
        <w:rPr>
          <w:color w:val="000000"/>
          <w:sz w:val="20"/>
          <w:szCs w:val="20"/>
        </w:rPr>
      </w:pPr>
    </w:p>
    <w:p w14:paraId="26F4109E" w14:textId="7C2E52AA" w:rsidR="0068663F" w:rsidRDefault="0068663F" w:rsidP="006F1FAB">
      <w:pPr>
        <w:jc w:val="both"/>
        <w:rPr>
          <w:color w:val="000000"/>
          <w:sz w:val="20"/>
          <w:szCs w:val="20"/>
        </w:rPr>
      </w:pPr>
    </w:p>
    <w:p w14:paraId="182638B9" w14:textId="0D5AD984" w:rsidR="0068663F" w:rsidRDefault="0068663F" w:rsidP="006F1FAB">
      <w:pPr>
        <w:jc w:val="both"/>
        <w:rPr>
          <w:color w:val="000000"/>
          <w:sz w:val="20"/>
          <w:szCs w:val="20"/>
        </w:rPr>
      </w:pPr>
    </w:p>
    <w:p w14:paraId="71575B4A" w14:textId="3F562AE2" w:rsidR="0068663F" w:rsidRDefault="0068663F" w:rsidP="006F1FAB">
      <w:pPr>
        <w:jc w:val="both"/>
        <w:rPr>
          <w:color w:val="000000"/>
          <w:sz w:val="20"/>
          <w:szCs w:val="20"/>
        </w:rPr>
      </w:pPr>
    </w:p>
    <w:p w14:paraId="67B7E376" w14:textId="69EDBBCA" w:rsidR="0068663F" w:rsidRDefault="0068663F" w:rsidP="006F1FAB">
      <w:pPr>
        <w:jc w:val="both"/>
        <w:rPr>
          <w:color w:val="000000"/>
          <w:sz w:val="20"/>
          <w:szCs w:val="20"/>
        </w:rPr>
      </w:pPr>
    </w:p>
    <w:p w14:paraId="604A363B" w14:textId="1A0F6D52" w:rsidR="0068663F" w:rsidRDefault="0068663F" w:rsidP="006F1FAB">
      <w:pPr>
        <w:jc w:val="both"/>
        <w:rPr>
          <w:color w:val="000000"/>
          <w:sz w:val="20"/>
          <w:szCs w:val="20"/>
        </w:rPr>
      </w:pPr>
    </w:p>
    <w:p w14:paraId="1C4C1B5D" w14:textId="2EC2842C" w:rsidR="0068663F" w:rsidRDefault="0068663F" w:rsidP="006F1FAB">
      <w:pPr>
        <w:jc w:val="both"/>
        <w:rPr>
          <w:color w:val="000000"/>
          <w:sz w:val="20"/>
          <w:szCs w:val="20"/>
        </w:rPr>
      </w:pPr>
    </w:p>
    <w:p w14:paraId="7755471A" w14:textId="77777777" w:rsidR="0068663F" w:rsidRPr="00427360" w:rsidRDefault="0068663F" w:rsidP="006F1FAB">
      <w:pPr>
        <w:jc w:val="both"/>
        <w:rPr>
          <w:color w:val="000000"/>
          <w:sz w:val="20"/>
          <w:szCs w:val="20"/>
        </w:rPr>
      </w:pPr>
    </w:p>
    <w:p w14:paraId="5F1D67A4" w14:textId="65C3DB88" w:rsidR="00D92726" w:rsidRPr="00427360" w:rsidRDefault="0068663F" w:rsidP="00FC36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b/>
          <w:bCs/>
          <w:color w:val="000000"/>
        </w:rPr>
      </w:pPr>
      <w:r>
        <w:rPr>
          <w:b/>
          <w:bCs/>
          <w:color w:val="000000"/>
        </w:rPr>
        <w:t>5</w:t>
      </w:r>
      <w:r w:rsidR="00F94F4F">
        <w:rPr>
          <w:b/>
          <w:bCs/>
          <w:color w:val="000000"/>
        </w:rPr>
        <w:t>.</w:t>
      </w:r>
      <w:r w:rsidR="00F94F4F">
        <w:rPr>
          <w:b/>
          <w:bCs/>
          <w:color w:val="000000"/>
        </w:rPr>
        <w:tab/>
      </w:r>
      <w:bookmarkStart w:id="5" w:name="Mark_5"/>
      <w:r w:rsidR="00D92726" w:rsidRPr="00427360">
        <w:rPr>
          <w:rFonts w:eastAsia="Times New Roman"/>
          <w:b/>
          <w:bCs/>
          <w:color w:val="000000"/>
        </w:rPr>
        <w:t>Second doses  </w:t>
      </w:r>
      <w:bookmarkEnd w:id="5"/>
    </w:p>
    <w:p w14:paraId="42A54B4D" w14:textId="3C7BBB37" w:rsidR="00D92726" w:rsidRPr="00427360" w:rsidRDefault="008B3DCF" w:rsidP="00FC36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hyperlink r:id="rId23" w:history="1">
        <w:r w:rsidR="00D92726" w:rsidRPr="00427360">
          <w:rPr>
            <w:rStyle w:val="Hyperlink"/>
            <w:rFonts w:eastAsia="Times New Roman"/>
            <w:sz w:val="20"/>
            <w:szCs w:val="20"/>
          </w:rPr>
          <w:t>Chapter 14a (on COVID-19) of the ‘The Green Book’</w:t>
        </w:r>
      </w:hyperlink>
      <w:r w:rsidR="00D92726" w:rsidRPr="00427360">
        <w:rPr>
          <w:rFonts w:eastAsia="Times New Roman"/>
          <w:color w:val="000000"/>
          <w:sz w:val="20"/>
          <w:szCs w:val="20"/>
        </w:rPr>
        <w:t xml:space="preserve"> has been updated for patients due to start immunosuppressive treatment, so that for example, if prior to cancer the patient has had therapy or a solid organ transplant they could be offered a vaccine prior to starting treatment, if clinically recommended. This includes potentially having the second dose at 3 or 4 weeks after the first. </w:t>
      </w:r>
    </w:p>
    <w:p w14:paraId="62B8990B" w14:textId="62AE040B" w:rsidR="00D92726" w:rsidRPr="00427360" w:rsidRDefault="00D92726" w:rsidP="00FC36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tabs>
          <w:tab w:val="num" w:pos="720"/>
        </w:tabs>
        <w:jc w:val="both"/>
        <w:rPr>
          <w:color w:val="000000"/>
          <w:sz w:val="20"/>
          <w:szCs w:val="20"/>
        </w:rPr>
      </w:pPr>
      <w:r w:rsidRPr="00427360">
        <w:rPr>
          <w:rFonts w:eastAsia="Times New Roman"/>
          <w:color w:val="000000"/>
          <w:sz w:val="20"/>
          <w:szCs w:val="20"/>
        </w:rPr>
        <w:t xml:space="preserve">Last week, </w:t>
      </w:r>
      <w:r w:rsidR="00FC36AB">
        <w:rPr>
          <w:rFonts w:eastAsia="Times New Roman"/>
          <w:color w:val="000000"/>
          <w:sz w:val="20"/>
          <w:szCs w:val="20"/>
        </w:rPr>
        <w:t>the BMA</w:t>
      </w:r>
      <w:r w:rsidRPr="00427360">
        <w:rPr>
          <w:rFonts w:eastAsia="Times New Roman"/>
          <w:color w:val="000000"/>
          <w:sz w:val="20"/>
          <w:szCs w:val="20"/>
        </w:rPr>
        <w:t xml:space="preserve"> raised with NHSE/I the need for practice sites to be able to start planning giving second doses by booking appointments. On Friday, LVS (Local Vaccination Service) sites were sent a message about the scheduling about preparing for the second dose vaccination clinics for cohorts 1-2 which should go live as of week commencing 1 March 2021.</w:t>
      </w:r>
      <w:r w:rsidRPr="00427360">
        <w:rPr>
          <w:rFonts w:eastAsia="Times New Roman"/>
          <w:b/>
          <w:bCs/>
          <w:color w:val="000000"/>
          <w:sz w:val="20"/>
          <w:szCs w:val="20"/>
        </w:rPr>
        <w:t xml:space="preserve"> </w:t>
      </w:r>
      <w:r w:rsidRPr="00427360">
        <w:rPr>
          <w:rFonts w:eastAsia="Times New Roman"/>
          <w:color w:val="000000"/>
          <w:sz w:val="20"/>
          <w:szCs w:val="20"/>
        </w:rPr>
        <w:t xml:space="preserve">The allocated quantity of vaccines will be based on quantity of first dose delivered by site (full pack unless a pack-down option was provided). The second dose clinics will take place 11 weeks post first dose clinics so the </w:t>
      </w:r>
      <w:proofErr w:type="gramStart"/>
      <w:r w:rsidRPr="00427360">
        <w:rPr>
          <w:rFonts w:eastAsia="Times New Roman"/>
          <w:color w:val="000000"/>
          <w:sz w:val="20"/>
          <w:szCs w:val="20"/>
        </w:rPr>
        <w:t>12 week</w:t>
      </w:r>
      <w:proofErr w:type="gramEnd"/>
      <w:r w:rsidRPr="00427360">
        <w:rPr>
          <w:rFonts w:eastAsia="Times New Roman"/>
          <w:color w:val="000000"/>
          <w:sz w:val="20"/>
          <w:szCs w:val="20"/>
        </w:rPr>
        <w:t xml:space="preserve"> lead time between doses is achieved. Practice sites should be provided with scheduled delivery </w:t>
      </w:r>
      <w:r w:rsidRPr="00427360">
        <w:rPr>
          <w:rFonts w:eastAsia="Times New Roman"/>
          <w:color w:val="000000"/>
          <w:sz w:val="20"/>
          <w:szCs w:val="20"/>
          <w:u w:val="single"/>
        </w:rPr>
        <w:t>day</w:t>
      </w:r>
      <w:r w:rsidRPr="00427360">
        <w:rPr>
          <w:rFonts w:eastAsia="Times New Roman"/>
          <w:color w:val="000000"/>
          <w:sz w:val="20"/>
          <w:szCs w:val="20"/>
        </w:rPr>
        <w:t xml:space="preserve"> of second dose volumes by the end of this </w:t>
      </w:r>
      <w:proofErr w:type="gramStart"/>
      <w:r w:rsidRPr="00427360">
        <w:rPr>
          <w:rFonts w:eastAsia="Times New Roman"/>
          <w:color w:val="000000"/>
          <w:sz w:val="20"/>
          <w:szCs w:val="20"/>
        </w:rPr>
        <w:t>week, and</w:t>
      </w:r>
      <w:proofErr w:type="gramEnd"/>
      <w:r w:rsidRPr="00427360">
        <w:rPr>
          <w:rFonts w:eastAsia="Times New Roman"/>
          <w:color w:val="000000"/>
          <w:sz w:val="20"/>
          <w:szCs w:val="20"/>
        </w:rPr>
        <w:t xml:space="preserve"> are asked to schedule clinics up to the end of March once delivery schedule by day has been communicated. </w:t>
      </w:r>
    </w:p>
    <w:p w14:paraId="5ED427B7" w14:textId="4941DCF0" w:rsidR="00D92726" w:rsidRDefault="00FC36AB" w:rsidP="00FC36A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eastAsia="Times New Roman"/>
          <w:color w:val="000000"/>
          <w:sz w:val="20"/>
          <w:szCs w:val="20"/>
        </w:rPr>
      </w:pPr>
      <w:r>
        <w:rPr>
          <w:rFonts w:eastAsia="Times New Roman"/>
          <w:color w:val="000000"/>
          <w:sz w:val="20"/>
          <w:szCs w:val="20"/>
        </w:rPr>
        <w:t>The BMA</w:t>
      </w:r>
      <w:r w:rsidR="00D92726" w:rsidRPr="00427360">
        <w:rPr>
          <w:rFonts w:eastAsia="Times New Roman"/>
          <w:color w:val="000000"/>
          <w:sz w:val="20"/>
          <w:szCs w:val="20"/>
        </w:rPr>
        <w:t xml:space="preserve"> also believe it would be reasonable for GP sites to now give all those patients who have received the AstraZeneca vaccine an appointment for a second dose, and to do this for these patients when the first dose is given to reduce the workload involved in contacting patients at a separate time. </w:t>
      </w:r>
    </w:p>
    <w:p w14:paraId="2B1E438C" w14:textId="2B20029E" w:rsidR="00D92726" w:rsidRDefault="00D92726" w:rsidP="00D92726">
      <w:pPr>
        <w:jc w:val="both"/>
        <w:rPr>
          <w:rFonts w:eastAsia="Times New Roman"/>
          <w:color w:val="000000"/>
          <w:sz w:val="20"/>
          <w:szCs w:val="20"/>
        </w:rPr>
      </w:pPr>
    </w:p>
    <w:p w14:paraId="061143F0" w14:textId="77777777" w:rsidR="005B491C" w:rsidRDefault="005B491C" w:rsidP="00D92726">
      <w:pPr>
        <w:jc w:val="both"/>
        <w:rPr>
          <w:rFonts w:eastAsia="Times New Roman"/>
          <w:color w:val="000000"/>
          <w:sz w:val="20"/>
          <w:szCs w:val="20"/>
        </w:rPr>
      </w:pPr>
    </w:p>
    <w:p w14:paraId="7B6E467D" w14:textId="714F87FB" w:rsidR="00FC36AB" w:rsidRPr="0022201D" w:rsidRDefault="008B0FA0" w:rsidP="008B0FA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b/>
          <w:bCs/>
          <w:color w:val="000000"/>
        </w:rPr>
      </w:pPr>
      <w:r>
        <w:rPr>
          <w:rFonts w:eastAsia="Times New Roman"/>
          <w:b/>
          <w:bCs/>
          <w:color w:val="000000"/>
        </w:rPr>
        <w:t>6</w:t>
      </w:r>
      <w:r w:rsidR="00FC36AB">
        <w:rPr>
          <w:rFonts w:eastAsia="Times New Roman"/>
          <w:b/>
          <w:bCs/>
          <w:color w:val="000000"/>
        </w:rPr>
        <w:t>.</w:t>
      </w:r>
      <w:r w:rsidR="00FC36AB">
        <w:rPr>
          <w:rFonts w:eastAsia="Times New Roman"/>
          <w:b/>
          <w:bCs/>
          <w:color w:val="000000"/>
        </w:rPr>
        <w:tab/>
      </w:r>
      <w:bookmarkStart w:id="6" w:name="Mark_6"/>
      <w:r w:rsidR="00FC36AB" w:rsidRPr="0022201D">
        <w:rPr>
          <w:rFonts w:eastAsia="Times New Roman"/>
          <w:b/>
          <w:bCs/>
          <w:color w:val="000000"/>
        </w:rPr>
        <w:t>New vaccination information helpline and alternative point of care systems   </w:t>
      </w:r>
      <w:bookmarkEnd w:id="6"/>
    </w:p>
    <w:p w14:paraId="50933321" w14:textId="77777777" w:rsidR="00FC36AB" w:rsidRPr="0022201D" w:rsidRDefault="00FC36AB" w:rsidP="008B0FA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22201D">
        <w:rPr>
          <w:rFonts w:eastAsia="Times New Roman"/>
          <w:color w:val="000000"/>
          <w:sz w:val="20"/>
          <w:szCs w:val="20"/>
        </w:rPr>
        <w:t>A new COVID-19 vaccination information web resource and helpdesk has been set up for practice managers to help you find out answers to questions about records of vaccinations.  </w:t>
      </w:r>
    </w:p>
    <w:p w14:paraId="3A1D4D6F" w14:textId="77777777" w:rsidR="00FC36AB" w:rsidRPr="0022201D" w:rsidRDefault="00FC36AB" w:rsidP="008B0FA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22201D">
        <w:rPr>
          <w:rFonts w:eastAsia="Times New Roman"/>
          <w:color w:val="000000"/>
          <w:sz w:val="20"/>
          <w:szCs w:val="20"/>
        </w:rPr>
        <w:t>New assured point of care systems for recording COVID-19 vaccinations will also be available soon for practices which can be used as an alternative to Pinnacle. This provides greater choice and reduces reliance on any one supplier. As currently happens, all the data will flow into the GP record within 48 hours. These developments are in direct response to requests from GPC England on behalf of general practice.   </w:t>
      </w:r>
    </w:p>
    <w:p w14:paraId="11306A01" w14:textId="77777777" w:rsidR="00FC36AB" w:rsidRPr="0022201D" w:rsidRDefault="00FC36AB" w:rsidP="008B0FA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22201D">
        <w:rPr>
          <w:rFonts w:eastAsia="Times New Roman"/>
          <w:color w:val="000000"/>
          <w:sz w:val="20"/>
          <w:szCs w:val="20"/>
        </w:rPr>
        <w:t xml:space="preserve">Find out more information about your COVID-19 vaccination queries, how the vaccinations are recorded, common errors or difficulties and how to get help in these </w:t>
      </w:r>
      <w:hyperlink r:id="rId24" w:history="1">
        <w:r w:rsidRPr="0022201D">
          <w:rPr>
            <w:rStyle w:val="Hyperlink"/>
            <w:rFonts w:eastAsia="Times New Roman"/>
            <w:sz w:val="20"/>
            <w:szCs w:val="20"/>
          </w:rPr>
          <w:t>FAQs by NHS Digital</w:t>
        </w:r>
      </w:hyperlink>
      <w:r w:rsidRPr="0022201D">
        <w:rPr>
          <w:rFonts w:eastAsia="Times New Roman"/>
          <w:color w:val="000000"/>
          <w:sz w:val="20"/>
          <w:szCs w:val="20"/>
        </w:rPr>
        <w:t>.</w:t>
      </w:r>
      <w:r w:rsidRPr="0022201D">
        <w:rPr>
          <w:color w:val="000000"/>
          <w:sz w:val="20"/>
          <w:szCs w:val="20"/>
        </w:rPr>
        <w:t xml:space="preserve">  </w:t>
      </w:r>
    </w:p>
    <w:p w14:paraId="655537E8" w14:textId="5E573131" w:rsidR="00F23D9D" w:rsidRDefault="00F23D9D" w:rsidP="00F23D9D">
      <w:pPr>
        <w:jc w:val="both"/>
        <w:rPr>
          <w:color w:val="000000"/>
          <w:sz w:val="20"/>
          <w:szCs w:val="20"/>
        </w:rPr>
      </w:pPr>
    </w:p>
    <w:p w14:paraId="52071FAF" w14:textId="77777777" w:rsidR="006E1489" w:rsidRDefault="006E1489" w:rsidP="00F23D9D">
      <w:pPr>
        <w:jc w:val="both"/>
        <w:rPr>
          <w:color w:val="000000"/>
          <w:sz w:val="20"/>
          <w:szCs w:val="20"/>
        </w:rPr>
      </w:pPr>
    </w:p>
    <w:p w14:paraId="4A406546" w14:textId="7B66DB42" w:rsidR="00E13A98" w:rsidRDefault="00E13A98" w:rsidP="00E13A98">
      <w:pPr>
        <w:pStyle w:val="NoSpacing"/>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b/>
          <w:bCs/>
        </w:rPr>
      </w:pPr>
      <w:r w:rsidRPr="006E1489">
        <w:rPr>
          <w:b/>
          <w:bCs/>
          <w:color w:val="000000"/>
          <w:sz w:val="20"/>
          <w:szCs w:val="20"/>
        </w:rPr>
        <w:t>7.</w:t>
      </w:r>
      <w:r>
        <w:rPr>
          <w:color w:val="000000"/>
          <w:sz w:val="20"/>
          <w:szCs w:val="20"/>
        </w:rPr>
        <w:tab/>
      </w:r>
      <w:bookmarkStart w:id="7" w:name="Mark_7"/>
      <w:r w:rsidR="00116EFA" w:rsidRPr="00116EFA">
        <w:rPr>
          <w:b/>
          <w:bCs/>
          <w:color w:val="000000"/>
          <w:sz w:val="20"/>
          <w:szCs w:val="20"/>
        </w:rPr>
        <w:t xml:space="preserve">Vaccinations for </w:t>
      </w:r>
      <w:r w:rsidRPr="00116EFA">
        <w:rPr>
          <w:b/>
          <w:bCs/>
        </w:rPr>
        <w:t>Health Care Workers on Statutory Leave</w:t>
      </w:r>
    </w:p>
    <w:bookmarkEnd w:id="7"/>
    <w:p w14:paraId="237A050D" w14:textId="77777777" w:rsidR="00E13A98" w:rsidRDefault="00E13A98" w:rsidP="00E13A98">
      <w:pPr>
        <w:pStyle w:val="NoSpacing"/>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sz w:val="20"/>
          <w:szCs w:val="20"/>
        </w:rPr>
      </w:pPr>
    </w:p>
    <w:p w14:paraId="1B20764D" w14:textId="77777777" w:rsidR="00E13A98" w:rsidRPr="00183FC0" w:rsidRDefault="00E13A98"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sz w:val="20"/>
          <w:szCs w:val="20"/>
        </w:rPr>
      </w:pPr>
      <w:r w:rsidRPr="00183FC0">
        <w:rPr>
          <w:sz w:val="20"/>
          <w:szCs w:val="20"/>
        </w:rPr>
        <w:t xml:space="preserve">Birmingham LMC received queries as to the policy for vaccinating sessional GP’s who are currently on maternity leave or </w:t>
      </w:r>
      <w:proofErr w:type="gramStart"/>
      <w:r w:rsidRPr="00183FC0">
        <w:rPr>
          <w:sz w:val="20"/>
          <w:szCs w:val="20"/>
        </w:rPr>
        <w:t>long term</w:t>
      </w:r>
      <w:proofErr w:type="gramEnd"/>
      <w:r w:rsidRPr="00183FC0">
        <w:rPr>
          <w:sz w:val="20"/>
          <w:szCs w:val="20"/>
        </w:rPr>
        <w:t xml:space="preserve"> sick leave and whether these workers would still be able to receive vaccination under the 2</w:t>
      </w:r>
      <w:r w:rsidRPr="00183FC0">
        <w:rPr>
          <w:sz w:val="20"/>
          <w:szCs w:val="20"/>
          <w:vertAlign w:val="superscript"/>
        </w:rPr>
        <w:t>nd</w:t>
      </w:r>
      <w:r w:rsidRPr="00183FC0">
        <w:rPr>
          <w:sz w:val="20"/>
          <w:szCs w:val="20"/>
        </w:rPr>
        <w:t xml:space="preserve"> Priority cohort?</w:t>
      </w:r>
    </w:p>
    <w:p w14:paraId="35F4B2D5" w14:textId="266653BE" w:rsidR="005B491C" w:rsidRDefault="00E13A98"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183FC0">
        <w:rPr>
          <w:sz w:val="20"/>
          <w:szCs w:val="20"/>
        </w:rPr>
        <w:t>We have today received confirmation from the CCG that the opinion of the clinical lead for the programme is that they should be vaccinated if they wish</w:t>
      </w:r>
      <w:r>
        <w:rPr>
          <w:sz w:val="20"/>
          <w:szCs w:val="20"/>
        </w:rPr>
        <w:t>.</w:t>
      </w:r>
    </w:p>
    <w:p w14:paraId="726865C8" w14:textId="2A158F1C" w:rsidR="005B491C" w:rsidRDefault="005B491C" w:rsidP="00F23D9D">
      <w:pPr>
        <w:jc w:val="both"/>
        <w:rPr>
          <w:color w:val="000000"/>
          <w:sz w:val="20"/>
          <w:szCs w:val="20"/>
        </w:rPr>
      </w:pPr>
    </w:p>
    <w:p w14:paraId="2837E553" w14:textId="77777777" w:rsidR="00D92726" w:rsidRPr="00427360" w:rsidRDefault="00D92726" w:rsidP="00D92726">
      <w:pPr>
        <w:jc w:val="both"/>
        <w:rPr>
          <w:color w:val="000000"/>
          <w:sz w:val="20"/>
          <w:szCs w:val="20"/>
        </w:rPr>
      </w:pPr>
    </w:p>
    <w:p w14:paraId="62B4721D" w14:textId="7901DEC9" w:rsidR="005B491C" w:rsidRPr="0022201D" w:rsidRDefault="00E13A98"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rFonts w:cstheme="minorHAnsi"/>
          <w:b/>
          <w:bCs/>
          <w:color w:val="000000"/>
        </w:rPr>
      </w:pPr>
      <w:r>
        <w:rPr>
          <w:b/>
          <w:bCs/>
          <w:color w:val="000000"/>
        </w:rPr>
        <w:t>8</w:t>
      </w:r>
      <w:r w:rsidR="00825276">
        <w:rPr>
          <w:b/>
          <w:bCs/>
          <w:color w:val="000000"/>
        </w:rPr>
        <w:t>.</w:t>
      </w:r>
      <w:r w:rsidR="00825276">
        <w:rPr>
          <w:b/>
          <w:bCs/>
          <w:color w:val="000000"/>
        </w:rPr>
        <w:tab/>
      </w:r>
      <w:bookmarkStart w:id="8" w:name="Mark_8"/>
      <w:r w:rsidR="005B491C" w:rsidRPr="0022201D">
        <w:rPr>
          <w:rFonts w:eastAsia="Calibri" w:cstheme="minorHAnsi"/>
          <w:b/>
          <w:bCs/>
          <w:color w:val="000000"/>
        </w:rPr>
        <w:t>Vaccine doses data </w:t>
      </w:r>
      <w:bookmarkEnd w:id="8"/>
    </w:p>
    <w:p w14:paraId="3F8AA451" w14:textId="77777777" w:rsidR="005B491C" w:rsidRPr="0022201D"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22201D">
        <w:rPr>
          <w:rFonts w:eastAsia="Calibri" w:cs="Times New Roman"/>
          <w:color w:val="000000"/>
          <w:sz w:val="20"/>
          <w:szCs w:val="20"/>
        </w:rPr>
        <w:t xml:space="preserve">This week, we are celebrating the milestone of over 10 million COVID-19 vaccination doses having been </w:t>
      </w:r>
      <w:hyperlink r:id="rId25" w:history="1">
        <w:r w:rsidRPr="0022201D">
          <w:rPr>
            <w:rStyle w:val="Hyperlink"/>
            <w:rFonts w:eastAsia="Calibri" w:cs="Times New Roman"/>
            <w:sz w:val="20"/>
            <w:szCs w:val="20"/>
          </w:rPr>
          <w:t>given in the UK</w:t>
        </w:r>
      </w:hyperlink>
      <w:r w:rsidRPr="0022201D">
        <w:rPr>
          <w:rFonts w:eastAsia="Calibri" w:cs="Times New Roman"/>
          <w:color w:val="000000"/>
          <w:sz w:val="20"/>
          <w:szCs w:val="20"/>
        </w:rPr>
        <w:t xml:space="preserve">,  which has risen to almost 11 million today, and the latest </w:t>
      </w:r>
      <w:hyperlink r:id="rId26" w:history="1">
        <w:r w:rsidRPr="0022201D">
          <w:rPr>
            <w:rStyle w:val="Hyperlink"/>
            <w:rFonts w:eastAsia="Calibri" w:cs="Times New Roman"/>
            <w:sz w:val="20"/>
            <w:szCs w:val="20"/>
          </w:rPr>
          <w:t xml:space="preserve">data report </w:t>
        </w:r>
      </w:hyperlink>
      <w:r w:rsidRPr="0022201D">
        <w:rPr>
          <w:rFonts w:eastAsia="Calibri" w:cs="Times New Roman"/>
          <w:color w:val="000000"/>
          <w:sz w:val="20"/>
          <w:szCs w:val="20"/>
        </w:rPr>
        <w:t xml:space="preserve">, show that as of 3 February a total of 9,126,930 doses have been given in England. This is an enormous achievement, </w:t>
      </w:r>
      <w:proofErr w:type="gramStart"/>
      <w:r w:rsidRPr="0022201D">
        <w:rPr>
          <w:rFonts w:eastAsia="Calibri" w:cs="Times New Roman"/>
          <w:color w:val="000000"/>
          <w:sz w:val="20"/>
          <w:szCs w:val="20"/>
        </w:rPr>
        <w:t>in particular when</w:t>
      </w:r>
      <w:proofErr w:type="gramEnd"/>
      <w:r w:rsidRPr="0022201D">
        <w:rPr>
          <w:rFonts w:eastAsia="Calibri" w:cs="Times New Roman"/>
          <w:color w:val="000000"/>
          <w:sz w:val="20"/>
          <w:szCs w:val="20"/>
        </w:rPr>
        <w:t xml:space="preserve"> practices have also provided millions of flu and childhood immunisations this year. Thank you to all those who have made this possible so quickly. </w:t>
      </w:r>
    </w:p>
    <w:p w14:paraId="44CE92D7" w14:textId="77777777" w:rsidR="005B491C" w:rsidRPr="0022201D"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color w:val="000000"/>
          <w:sz w:val="20"/>
          <w:szCs w:val="20"/>
        </w:rPr>
      </w:pPr>
      <w:r w:rsidRPr="0022201D">
        <w:rPr>
          <w:rFonts w:eastAsia="Calibri" w:cs="Times New Roman"/>
          <w:color w:val="000000"/>
          <w:sz w:val="20"/>
          <w:szCs w:val="20"/>
        </w:rPr>
        <w:t xml:space="preserve">The most recent </w:t>
      </w:r>
      <w:hyperlink r:id="rId27" w:history="1">
        <w:r w:rsidRPr="0022201D">
          <w:rPr>
            <w:rStyle w:val="Hyperlink"/>
            <w:rFonts w:eastAsia="Calibri" w:cs="Times New Roman"/>
            <w:sz w:val="20"/>
            <w:szCs w:val="20"/>
          </w:rPr>
          <w:t>BMA vaccine survey</w:t>
        </w:r>
      </w:hyperlink>
      <w:r w:rsidRPr="0022201D">
        <w:rPr>
          <w:rFonts w:eastAsia="Calibri" w:cs="Times New Roman"/>
          <w:color w:val="000000"/>
          <w:sz w:val="20"/>
          <w:szCs w:val="20"/>
        </w:rPr>
        <w:t xml:space="preserve">, which aims to track the roll out of first and second vaccine doses among members UK wide, shows that as of 29 </w:t>
      </w:r>
      <w:hyperlink r:id="rId28" w:history="1">
        <w:r w:rsidRPr="0022201D">
          <w:rPr>
            <w:rStyle w:val="Hyperlink"/>
            <w:rFonts w:eastAsia="Calibri" w:cs="Times New Roman"/>
            <w:sz w:val="20"/>
            <w:szCs w:val="20"/>
          </w:rPr>
          <w:t>January</w:t>
        </w:r>
      </w:hyperlink>
      <w:r w:rsidRPr="0022201D">
        <w:rPr>
          <w:rFonts w:eastAsia="Calibri" w:cs="Times New Roman"/>
          <w:b/>
          <w:bCs/>
          <w:i/>
          <w:iCs/>
          <w:color w:val="000000"/>
          <w:sz w:val="20"/>
          <w:szCs w:val="20"/>
        </w:rPr>
        <w:t>:  </w:t>
      </w:r>
    </w:p>
    <w:p w14:paraId="43E40CA9" w14:textId="77777777" w:rsidR="005B491C" w:rsidRPr="0022201D"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r w:rsidRPr="0022201D">
        <w:rPr>
          <w:rFonts w:eastAsia="Calibri" w:cs="Times New Roman"/>
          <w:color w:val="000000"/>
          <w:sz w:val="20"/>
          <w:szCs w:val="20"/>
        </w:rPr>
        <w:t xml:space="preserve">93% have received one or both </w:t>
      </w:r>
      <w:proofErr w:type="gramStart"/>
      <w:r w:rsidRPr="0022201D">
        <w:rPr>
          <w:rFonts w:eastAsia="Calibri" w:cs="Times New Roman"/>
          <w:color w:val="000000"/>
          <w:sz w:val="20"/>
          <w:szCs w:val="20"/>
        </w:rPr>
        <w:t>doses</w:t>
      </w:r>
      <w:proofErr w:type="gramEnd"/>
      <w:r w:rsidRPr="0022201D">
        <w:rPr>
          <w:rFonts w:eastAsia="Calibri" w:cs="Times New Roman"/>
          <w:color w:val="000000"/>
          <w:sz w:val="20"/>
          <w:szCs w:val="20"/>
        </w:rPr>
        <w:t> </w:t>
      </w:r>
    </w:p>
    <w:p w14:paraId="1EC67EF9" w14:textId="77777777" w:rsidR="005B491C" w:rsidRPr="0022201D"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r w:rsidRPr="0022201D">
        <w:rPr>
          <w:rFonts w:eastAsia="Calibri" w:cs="Times New Roman"/>
          <w:color w:val="000000"/>
          <w:sz w:val="20"/>
          <w:szCs w:val="20"/>
        </w:rPr>
        <w:t xml:space="preserve">13% have received both </w:t>
      </w:r>
      <w:proofErr w:type="gramStart"/>
      <w:r w:rsidRPr="0022201D">
        <w:rPr>
          <w:rFonts w:eastAsia="Calibri" w:cs="Times New Roman"/>
          <w:color w:val="000000"/>
          <w:sz w:val="20"/>
          <w:szCs w:val="20"/>
        </w:rPr>
        <w:t>doses</w:t>
      </w:r>
      <w:proofErr w:type="gramEnd"/>
      <w:r w:rsidRPr="0022201D">
        <w:rPr>
          <w:rFonts w:eastAsia="Calibri" w:cs="Times New Roman"/>
          <w:color w:val="000000"/>
          <w:sz w:val="20"/>
          <w:szCs w:val="20"/>
        </w:rPr>
        <w:t> </w:t>
      </w:r>
    </w:p>
    <w:p w14:paraId="4001C630" w14:textId="77777777" w:rsidR="005B491C" w:rsidRPr="0022201D"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r w:rsidRPr="0022201D">
        <w:rPr>
          <w:rFonts w:eastAsia="Calibri" w:cs="Times New Roman"/>
          <w:color w:val="000000"/>
          <w:sz w:val="20"/>
          <w:szCs w:val="20"/>
        </w:rPr>
        <w:t xml:space="preserve">5% have are still to receive a single </w:t>
      </w:r>
      <w:proofErr w:type="gramStart"/>
      <w:r w:rsidRPr="0022201D">
        <w:rPr>
          <w:rFonts w:eastAsia="Calibri" w:cs="Times New Roman"/>
          <w:color w:val="000000"/>
          <w:sz w:val="20"/>
          <w:szCs w:val="20"/>
        </w:rPr>
        <w:t>dose</w:t>
      </w:r>
      <w:proofErr w:type="gramEnd"/>
      <w:r w:rsidRPr="0022201D">
        <w:rPr>
          <w:rFonts w:eastAsia="Calibri" w:cs="Times New Roman"/>
          <w:color w:val="000000"/>
          <w:sz w:val="20"/>
          <w:szCs w:val="20"/>
        </w:rPr>
        <w:t xml:space="preserve">  </w:t>
      </w:r>
    </w:p>
    <w:p w14:paraId="36F57E12" w14:textId="77777777" w:rsidR="00E13A98"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r w:rsidRPr="0022201D">
        <w:rPr>
          <w:rFonts w:eastAsia="Calibri" w:cs="Times New Roman"/>
          <w:color w:val="000000"/>
          <w:sz w:val="20"/>
          <w:szCs w:val="20"/>
        </w:rPr>
        <w:t>Almost half (46%) of those who have received their first dose have a date for a second dose - the majority expect this to be in 10-12 weeks’ time.  </w:t>
      </w:r>
    </w:p>
    <w:p w14:paraId="26C4D41A" w14:textId="77777777" w:rsidR="00E13A98" w:rsidRDefault="00E13A98"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p>
    <w:p w14:paraId="16D8EF23" w14:textId="02F25C1F" w:rsidR="00F76452" w:rsidRPr="00E13A98" w:rsidRDefault="005B491C" w:rsidP="00E13A98">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line="240" w:lineRule="auto"/>
        <w:jc w:val="both"/>
        <w:rPr>
          <w:rFonts w:eastAsia="Times New Roman"/>
          <w:color w:val="000000"/>
          <w:sz w:val="20"/>
          <w:szCs w:val="20"/>
        </w:rPr>
      </w:pPr>
      <w:r w:rsidRPr="0022201D">
        <w:rPr>
          <w:rFonts w:eastAsia="Calibri" w:cs="Times New Roman"/>
          <w:color w:val="000000"/>
          <w:sz w:val="20"/>
          <w:szCs w:val="20"/>
        </w:rPr>
        <w:t>The survey also showed that with regards to ethnicity and being at higher clinical risk,</w:t>
      </w:r>
      <w:r w:rsidRPr="0022201D">
        <w:rPr>
          <w:rFonts w:eastAsia="Calibri" w:cs="Times New Roman"/>
          <w:b/>
          <w:bCs/>
          <w:i/>
          <w:iCs/>
          <w:color w:val="000000"/>
          <w:sz w:val="20"/>
          <w:szCs w:val="20"/>
        </w:rPr>
        <w:t xml:space="preserve"> </w:t>
      </w:r>
      <w:r w:rsidRPr="0022201D">
        <w:rPr>
          <w:rFonts w:eastAsia="Calibri" w:cs="Times New Roman"/>
          <w:color w:val="000000"/>
          <w:sz w:val="20"/>
          <w:szCs w:val="20"/>
        </w:rPr>
        <w:t>there is no difference in one or both vaccine dose rate by ethnicity (BAME doctors 94%, white doctors 93%) or by being at a higher clinical risk (higher risk 94%, not at higher risk 94%).  </w:t>
      </w:r>
    </w:p>
    <w:p w14:paraId="6044EFA6" w14:textId="0C28B240" w:rsidR="00F76452" w:rsidRDefault="00F76452" w:rsidP="00AF1DEC"/>
    <w:p w14:paraId="104AFD6C" w14:textId="77777777" w:rsidR="006E1489" w:rsidRDefault="006E1489" w:rsidP="00AF1DEC"/>
    <w:p w14:paraId="3C31FD94" w14:textId="2CBAE921" w:rsidR="006E1489" w:rsidRDefault="006E1489" w:rsidP="006E1489">
      <w:pPr>
        <w:rPr>
          <w:b/>
          <w:bCs/>
          <w:color w:val="FF0000"/>
          <w:sz w:val="28"/>
          <w:szCs w:val="28"/>
        </w:rPr>
      </w:pPr>
      <w:r w:rsidRPr="006E1489">
        <w:rPr>
          <w:b/>
          <w:bCs/>
          <w:color w:val="FF0000"/>
          <w:sz w:val="28"/>
          <w:szCs w:val="28"/>
        </w:rPr>
        <w:t xml:space="preserve">Freedom of Information </w:t>
      </w:r>
      <w:r w:rsidR="00DC15B2">
        <w:rPr>
          <w:b/>
          <w:bCs/>
          <w:color w:val="FF0000"/>
          <w:sz w:val="28"/>
          <w:szCs w:val="28"/>
        </w:rPr>
        <w:t xml:space="preserve">Act </w:t>
      </w:r>
      <w:r w:rsidRPr="006E1489">
        <w:rPr>
          <w:b/>
          <w:bCs/>
          <w:color w:val="FF0000"/>
          <w:sz w:val="28"/>
          <w:szCs w:val="28"/>
        </w:rPr>
        <w:t xml:space="preserve">Request </w:t>
      </w:r>
      <w:r w:rsidR="00DC15B2">
        <w:rPr>
          <w:b/>
          <w:bCs/>
          <w:color w:val="FF0000"/>
          <w:sz w:val="28"/>
          <w:szCs w:val="28"/>
        </w:rPr>
        <w:t xml:space="preserve">- </w:t>
      </w:r>
      <w:r w:rsidRPr="006E1489">
        <w:rPr>
          <w:b/>
          <w:bCs/>
          <w:color w:val="FF0000"/>
          <w:sz w:val="28"/>
          <w:szCs w:val="28"/>
        </w:rPr>
        <w:t>UPDATE</w:t>
      </w:r>
    </w:p>
    <w:p w14:paraId="2AE8CD23" w14:textId="77777777" w:rsidR="006E1489" w:rsidRPr="006E1489" w:rsidRDefault="006E1489" w:rsidP="006E1489">
      <w:pPr>
        <w:rPr>
          <w:b/>
          <w:bCs/>
          <w:color w:val="FF0000"/>
          <w:sz w:val="28"/>
          <w:szCs w:val="28"/>
        </w:rPr>
      </w:pPr>
    </w:p>
    <w:p w14:paraId="39CF08EE" w14:textId="0A60D1F9" w:rsidR="006E1489" w:rsidRPr="006E1489" w:rsidRDefault="006E1489" w:rsidP="006E1489">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b/>
          <w:bCs/>
        </w:rPr>
      </w:pPr>
      <w:r>
        <w:rPr>
          <w:b/>
          <w:bCs/>
        </w:rPr>
        <w:t>1.</w:t>
      </w:r>
      <w:r>
        <w:rPr>
          <w:b/>
          <w:bCs/>
        </w:rPr>
        <w:tab/>
      </w:r>
      <w:bookmarkStart w:id="9" w:name="Mark_9"/>
      <w:r w:rsidRPr="006E1489">
        <w:rPr>
          <w:b/>
          <w:bCs/>
        </w:rPr>
        <w:t>FOI – learning disabilities to identify those recorded as DNAR</w:t>
      </w:r>
      <w:bookmarkEnd w:id="9"/>
    </w:p>
    <w:p w14:paraId="569655D2" w14:textId="77777777" w:rsidR="006E1489" w:rsidRPr="00183FC0" w:rsidRDefault="006E1489" w:rsidP="006E1489">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cstheme="minorHAnsi"/>
          <w:sz w:val="20"/>
          <w:szCs w:val="20"/>
        </w:rPr>
      </w:pPr>
      <w:r>
        <w:rPr>
          <w:rFonts w:cstheme="minorHAnsi"/>
          <w:sz w:val="20"/>
          <w:szCs w:val="20"/>
        </w:rPr>
        <w:t>The BMA</w:t>
      </w:r>
      <w:r w:rsidRPr="00183FC0">
        <w:rPr>
          <w:rFonts w:cstheme="minorHAnsi"/>
          <w:sz w:val="20"/>
          <w:szCs w:val="20"/>
        </w:rPr>
        <w:t xml:space="preserve"> have been advised that practices may wish to respond to say that the QI modules have been deprioritised and income protected and link to the relevant </w:t>
      </w:r>
      <w:hyperlink r:id="rId29" w:history="1">
        <w:r w:rsidRPr="00183FC0">
          <w:rPr>
            <w:rStyle w:val="Hyperlink"/>
            <w:rFonts w:cstheme="minorHAnsi"/>
            <w:color w:val="auto"/>
            <w:sz w:val="20"/>
            <w:szCs w:val="20"/>
          </w:rPr>
          <w:t>NHSEI letter</w:t>
        </w:r>
      </w:hyperlink>
      <w:r w:rsidRPr="00183FC0">
        <w:rPr>
          <w:rFonts w:cstheme="minorHAnsi"/>
          <w:sz w:val="20"/>
          <w:szCs w:val="20"/>
        </w:rPr>
        <w:t xml:space="preserve"> (therefore the data is incomplete/inaccurate because of the changes made to support practices in managing the pandemic) and ask if they still wish to receive this data. This does not absolve practices of their responsibility to provide the data requested.</w:t>
      </w:r>
    </w:p>
    <w:p w14:paraId="60673E71" w14:textId="77777777" w:rsidR="006E1489" w:rsidRPr="00183FC0" w:rsidRDefault="006E1489" w:rsidP="006E1489">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cstheme="minorHAnsi"/>
          <w:sz w:val="20"/>
          <w:szCs w:val="20"/>
        </w:rPr>
      </w:pPr>
      <w:r w:rsidRPr="00183FC0">
        <w:rPr>
          <w:rFonts w:cstheme="minorHAnsi"/>
          <w:sz w:val="20"/>
          <w:szCs w:val="20"/>
        </w:rPr>
        <w:t xml:space="preserve">If they still want the </w:t>
      </w:r>
      <w:proofErr w:type="gramStart"/>
      <w:r w:rsidRPr="00183FC0">
        <w:rPr>
          <w:rFonts w:cstheme="minorHAnsi"/>
          <w:sz w:val="20"/>
          <w:szCs w:val="20"/>
        </w:rPr>
        <w:t>data</w:t>
      </w:r>
      <w:proofErr w:type="gramEnd"/>
      <w:r w:rsidRPr="00183FC0">
        <w:rPr>
          <w:rFonts w:cstheme="minorHAnsi"/>
          <w:sz w:val="20"/>
          <w:szCs w:val="20"/>
        </w:rPr>
        <w:t xml:space="preserve"> then practices do have to provide it. It is important to remember that practices do not have to create new information to satisfy an FOIA request (</w:t>
      </w:r>
      <w:proofErr w:type="spellStart"/>
      <w:proofErr w:type="gramStart"/>
      <w:r w:rsidRPr="00183FC0">
        <w:rPr>
          <w:rFonts w:cstheme="minorHAnsi"/>
          <w:sz w:val="20"/>
          <w:szCs w:val="20"/>
        </w:rPr>
        <w:t>ie</w:t>
      </w:r>
      <w:proofErr w:type="spellEnd"/>
      <w:proofErr w:type="gramEnd"/>
      <w:r w:rsidRPr="00183FC0">
        <w:rPr>
          <w:rFonts w:cstheme="minorHAnsi"/>
          <w:sz w:val="20"/>
          <w:szCs w:val="20"/>
        </w:rPr>
        <w:t xml:space="preserve"> they don’t have to do the QI module in order to provide the info). If the data requested (number of patients with learning disabilities recorded as DNAR, numbers that have been amended to remove this DNAR, and the age of each patient) can be ascertained from existing data then practices must provide it, but they might want to give some additional info in order to provide context around the data (</w:t>
      </w:r>
      <w:proofErr w:type="spellStart"/>
      <w:r w:rsidRPr="00183FC0">
        <w:rPr>
          <w:rFonts w:cstheme="minorHAnsi"/>
          <w:sz w:val="20"/>
          <w:szCs w:val="20"/>
        </w:rPr>
        <w:t>eg</w:t>
      </w:r>
      <w:proofErr w:type="spellEnd"/>
      <w:r w:rsidRPr="00183FC0">
        <w:rPr>
          <w:rFonts w:cstheme="minorHAnsi"/>
          <w:sz w:val="20"/>
          <w:szCs w:val="20"/>
        </w:rPr>
        <w:t xml:space="preserve"> reviews have not been carried out for all patients as this work has been deprioritised by NHSEI for most of the year). </w:t>
      </w:r>
    </w:p>
    <w:p w14:paraId="73D35721" w14:textId="77777777" w:rsidR="006E1489" w:rsidRPr="00183FC0" w:rsidRDefault="006E1489" w:rsidP="006E1489">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rFonts w:cstheme="minorHAnsi"/>
          <w:sz w:val="20"/>
          <w:szCs w:val="20"/>
        </w:rPr>
      </w:pPr>
      <w:r w:rsidRPr="00183FC0">
        <w:rPr>
          <w:rFonts w:cstheme="minorHAnsi"/>
          <w:sz w:val="20"/>
          <w:szCs w:val="20"/>
        </w:rPr>
        <w:t xml:space="preserve">If identifying the information and creating the response would be over the appropriate threshold of 18 hours </w:t>
      </w:r>
      <w:proofErr w:type="gramStart"/>
      <w:r w:rsidRPr="00183FC0">
        <w:rPr>
          <w:rFonts w:cstheme="minorHAnsi"/>
          <w:sz w:val="20"/>
          <w:szCs w:val="20"/>
        </w:rPr>
        <w:t>work</w:t>
      </w:r>
      <w:proofErr w:type="gramEnd"/>
      <w:r w:rsidRPr="00183FC0">
        <w:rPr>
          <w:rFonts w:cstheme="minorHAnsi"/>
          <w:sz w:val="20"/>
          <w:szCs w:val="20"/>
        </w:rPr>
        <w:t xml:space="preserve"> then the FOI can be politely rejected.</w:t>
      </w:r>
    </w:p>
    <w:p w14:paraId="53F870DB" w14:textId="77777777" w:rsidR="00E13A98" w:rsidRDefault="00E13A98" w:rsidP="00AF1DEC"/>
    <w:p w14:paraId="4549026D" w14:textId="198E6F42" w:rsidR="00EB64DB" w:rsidRDefault="00EB64DB" w:rsidP="00AF1DEC"/>
    <w:p w14:paraId="084EE968" w14:textId="565CF79F" w:rsidR="00DC15B2" w:rsidRDefault="00DC15B2" w:rsidP="00AF1DEC"/>
    <w:p w14:paraId="47947B7C" w14:textId="77777777" w:rsidR="00DC15B2" w:rsidRPr="008D3F6E" w:rsidRDefault="00DC15B2" w:rsidP="00AF1DEC"/>
    <w:p w14:paraId="6035EB27" w14:textId="77777777" w:rsidR="00AF1DEC" w:rsidRDefault="00AF1DEC" w:rsidP="00AF1DEC">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b/>
          <w:bCs/>
          <w:color w:val="FF0000"/>
        </w:rPr>
      </w:pPr>
      <w:r>
        <w:rPr>
          <w:b/>
          <w:bCs/>
          <w:color w:val="FF0000"/>
        </w:rPr>
        <w:t xml:space="preserve">Please note that the LMC are unable to accept calls or hold communications with patients, we are GP representatives, and we would respectfully ask that Practices do not advise patients to contact </w:t>
      </w:r>
      <w:proofErr w:type="gramStart"/>
      <w:r>
        <w:rPr>
          <w:b/>
          <w:bCs/>
          <w:color w:val="FF0000"/>
        </w:rPr>
        <w:t>us</w:t>
      </w:r>
      <w:proofErr w:type="gramEnd"/>
      <w:r>
        <w:rPr>
          <w:b/>
          <w:bCs/>
          <w:color w:val="FF0000"/>
        </w:rPr>
        <w:t xml:space="preserve">  </w:t>
      </w:r>
    </w:p>
    <w:p w14:paraId="141F63A1" w14:textId="77777777" w:rsidR="00EB64DB" w:rsidRDefault="00EB64DB" w:rsidP="00AF1DEC">
      <w:pPr>
        <w:rPr>
          <w:b/>
          <w:bCs/>
          <w:u w:val="single"/>
        </w:rPr>
      </w:pPr>
    </w:p>
    <w:p w14:paraId="6E8D9921" w14:textId="4AE974C2" w:rsidR="00EB64DB" w:rsidRPr="00F76452" w:rsidRDefault="00AF1DEC" w:rsidP="00F76452">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jc w:val="both"/>
        <w:rPr>
          <w:b/>
          <w:bCs/>
        </w:rPr>
      </w:pPr>
      <w:r w:rsidRPr="00B42CEB">
        <w:rPr>
          <w:b/>
          <w:bCs/>
        </w:rPr>
        <w:t>Please note our office contact times remain 10:00-</w:t>
      </w:r>
      <w:proofErr w:type="gramStart"/>
      <w:r w:rsidRPr="00B42CEB">
        <w:rPr>
          <w:b/>
          <w:bCs/>
        </w:rPr>
        <w:t>16:00  and</w:t>
      </w:r>
      <w:proofErr w:type="gramEnd"/>
      <w:r w:rsidRPr="00B42CEB">
        <w:rPr>
          <w:b/>
          <w:bCs/>
        </w:rPr>
        <w:t xml:space="preserve"> any queries on the day should be directed to </w:t>
      </w:r>
      <w:hyperlink r:id="rId30" w:history="1">
        <w:r w:rsidRPr="00B42CEB">
          <w:rPr>
            <w:rStyle w:val="Hyperlink"/>
            <w:b/>
            <w:bCs/>
            <w:u w:val="none"/>
          </w:rPr>
          <w:t>birmingham.lmc@nhs.net</w:t>
        </w:r>
      </w:hyperlink>
    </w:p>
    <w:p w14:paraId="363E40C0" w14:textId="77777777" w:rsidR="00F76452" w:rsidRDefault="00F76452" w:rsidP="00AF1DEC"/>
    <w:p w14:paraId="1088FA9D" w14:textId="77777777" w:rsidR="00AF1DEC" w:rsidRDefault="00AF1DEC" w:rsidP="00AF1DEC">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rPr>
          <w:b/>
          <w:bCs/>
          <w:u w:val="single"/>
        </w:rPr>
      </w:pPr>
      <w:r w:rsidRPr="00AB0284">
        <w:rPr>
          <w:b/>
          <w:bCs/>
          <w:u w:val="single"/>
        </w:rPr>
        <w:t>Helpful Links:</w:t>
      </w:r>
    </w:p>
    <w:p w14:paraId="720324B6" w14:textId="77777777" w:rsidR="00AF1DEC" w:rsidRPr="00AB0284" w:rsidRDefault="00AF1DEC" w:rsidP="00531D80">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rPr>
          <w:b/>
          <w:bCs/>
          <w:u w:val="single"/>
        </w:rPr>
      </w:pPr>
    </w:p>
    <w:p w14:paraId="7DA4457C" w14:textId="77777777" w:rsidR="00AF1DEC" w:rsidRPr="00797412" w:rsidRDefault="00AF1DEC" w:rsidP="00531D80">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FFFFFF"/>
        <w:spacing w:after="0"/>
        <w:textAlignment w:val="center"/>
        <w:outlineLvl w:val="0"/>
        <w:rPr>
          <w:rFonts w:eastAsia="Times New Roman" w:cs="Helvetica"/>
          <w:color w:val="111111"/>
          <w:spacing w:val="6"/>
          <w:shd w:val="clear" w:color="auto" w:fill="FFFFFF"/>
          <w:lang w:eastAsia="en-GB"/>
        </w:rPr>
      </w:pPr>
      <w:r w:rsidRPr="00797412">
        <w:rPr>
          <w:rFonts w:eastAsia="Times New Roman" w:cs="Helvetica"/>
          <w:b/>
          <w:bCs/>
          <w:spacing w:val="6"/>
          <w:kern w:val="36"/>
          <w:lang w:eastAsia="en-GB"/>
        </w:rPr>
        <w:t xml:space="preserve">BMA COVID-19: toolkit for GPs and GP practices </w:t>
      </w:r>
      <w:hyperlink r:id="rId31" w:history="1">
        <w:r w:rsidRPr="00797412">
          <w:rPr>
            <w:color w:val="0000FF"/>
            <w:u w:val="single"/>
          </w:rPr>
          <w:t>https://www.bma.org.uk/advice-and-support/covid-19/gp-practices/covid-19-toolkit-for-gps-and-gp-practices</w:t>
        </w:r>
      </w:hyperlink>
      <w:r w:rsidRPr="00797412">
        <w:t xml:space="preserve"> </w:t>
      </w:r>
      <w:r w:rsidRPr="00797412">
        <w:rPr>
          <w:rFonts w:eastAsia="Times New Roman" w:cs="Helvetica"/>
          <w:color w:val="111111"/>
          <w:spacing w:val="6"/>
          <w:shd w:val="clear" w:color="auto" w:fill="FFFFFF"/>
          <w:lang w:eastAsia="en-GB"/>
        </w:rPr>
        <w:t>Comprehensive guidance for GPs, partners, and practice managers to manage employment and contractual issues and service provision during the coronavirus pandemic.</w:t>
      </w:r>
    </w:p>
    <w:p w14:paraId="220AB17E" w14:textId="77777777" w:rsidR="00AF1DEC" w:rsidRPr="00797412" w:rsidRDefault="00AF1DEC" w:rsidP="00531D80">
      <w:pPr>
        <w:pStyle w:val="Heading2"/>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FFFFFF"/>
        <w:spacing w:before="0"/>
        <w:textAlignment w:val="baseline"/>
        <w:rPr>
          <w:rFonts w:asciiTheme="minorHAnsi" w:hAnsiTheme="minorHAnsi"/>
          <w:b/>
          <w:bCs/>
          <w:color w:val="auto"/>
          <w:sz w:val="22"/>
          <w:szCs w:val="22"/>
        </w:rPr>
      </w:pPr>
    </w:p>
    <w:p w14:paraId="0F47E39A" w14:textId="77777777" w:rsidR="00AF1DEC" w:rsidRPr="00797412" w:rsidRDefault="00AF1DEC" w:rsidP="00531D80">
      <w:pPr>
        <w:pStyle w:val="Heading2"/>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FFFFFF"/>
        <w:spacing w:before="0"/>
        <w:textAlignment w:val="baseline"/>
        <w:rPr>
          <w:rFonts w:asciiTheme="minorHAnsi" w:eastAsia="Times New Roman" w:hAnsiTheme="minorHAnsi" w:cs="Arial"/>
          <w:color w:val="0B0C0C"/>
          <w:sz w:val="22"/>
          <w:szCs w:val="22"/>
          <w:lang w:eastAsia="en-GB"/>
        </w:rPr>
      </w:pPr>
      <w:r w:rsidRPr="00797412">
        <w:rPr>
          <w:rFonts w:asciiTheme="minorHAnsi" w:hAnsiTheme="minorHAnsi"/>
          <w:b/>
          <w:bCs/>
          <w:color w:val="auto"/>
          <w:sz w:val="22"/>
          <w:szCs w:val="22"/>
        </w:rPr>
        <w:t>GOVERNMENT WEBSITE:</w:t>
      </w:r>
      <w:r w:rsidRPr="00797412">
        <w:rPr>
          <w:color w:val="auto"/>
          <w:sz w:val="22"/>
          <w:szCs w:val="22"/>
        </w:rPr>
        <w:t xml:space="preserve"> </w:t>
      </w:r>
      <w:hyperlink r:id="rId32" w:history="1">
        <w:r w:rsidRPr="00797412">
          <w:rPr>
            <w:rStyle w:val="Hyperlink"/>
            <w:sz w:val="22"/>
            <w:szCs w:val="22"/>
          </w:rPr>
          <w:t>https://www.gov.uk/coronavirus</w:t>
        </w:r>
      </w:hyperlink>
      <w:r w:rsidRPr="00797412">
        <w:rPr>
          <w:color w:val="0000FF"/>
          <w:sz w:val="22"/>
          <w:szCs w:val="22"/>
        </w:rPr>
        <w:t xml:space="preserve"> </w:t>
      </w:r>
      <w:r w:rsidRPr="00797412">
        <w:rPr>
          <w:rFonts w:asciiTheme="minorHAnsi" w:hAnsiTheme="minorHAnsi"/>
          <w:color w:val="auto"/>
          <w:sz w:val="22"/>
          <w:szCs w:val="22"/>
        </w:rPr>
        <w:t>for r</w:t>
      </w:r>
      <w:r w:rsidRPr="00797412">
        <w:rPr>
          <w:rFonts w:asciiTheme="minorHAnsi" w:eastAsia="Times New Roman" w:hAnsiTheme="minorHAnsi" w:cs="Arial"/>
          <w:color w:val="0B0C0C"/>
          <w:sz w:val="22"/>
          <w:szCs w:val="22"/>
          <w:lang w:eastAsia="en-GB"/>
        </w:rPr>
        <w:t>ecent and upcoming changes</w:t>
      </w:r>
      <w:r>
        <w:rPr>
          <w:rFonts w:asciiTheme="minorHAnsi" w:eastAsia="Times New Roman" w:hAnsiTheme="minorHAnsi" w:cs="Arial"/>
          <w:color w:val="0B0C0C"/>
          <w:sz w:val="22"/>
          <w:szCs w:val="22"/>
          <w:lang w:eastAsia="en-GB"/>
        </w:rPr>
        <w:t xml:space="preserve">, </w:t>
      </w:r>
      <w:r w:rsidRPr="00797412">
        <w:rPr>
          <w:rFonts w:asciiTheme="minorHAnsi" w:eastAsia="Times New Roman" w:hAnsiTheme="minorHAnsi" w:cs="Arial"/>
          <w:color w:val="0B0C0C"/>
          <w:sz w:val="22"/>
          <w:szCs w:val="22"/>
          <w:lang w:eastAsia="en-GB"/>
        </w:rPr>
        <w:t>guidance &amp; support.</w:t>
      </w:r>
    </w:p>
    <w:p w14:paraId="53F34098" w14:textId="77777777" w:rsidR="00AF1DEC" w:rsidRPr="00797412" w:rsidRDefault="00AF1DEC" w:rsidP="00531D80">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rPr>
          <w:lang w:eastAsia="en-GB"/>
        </w:rPr>
      </w:pPr>
    </w:p>
    <w:p w14:paraId="3601E328" w14:textId="77777777" w:rsidR="00AF1DEC" w:rsidRDefault="00AF1DEC" w:rsidP="00531D80">
      <w:pPr>
        <w:pBdr>
          <w:top w:val="thinThickSmallGap" w:sz="24" w:space="0"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pacing w:after="0"/>
        <w:rPr>
          <w:rStyle w:val="Hyperlink"/>
        </w:rPr>
      </w:pPr>
      <w:r w:rsidRPr="00797412">
        <w:rPr>
          <w:b/>
          <w:bCs/>
        </w:rPr>
        <w:t>NHS ENGLAND:</w:t>
      </w:r>
      <w:r w:rsidRPr="00797412">
        <w:t xml:space="preserve"> </w:t>
      </w:r>
      <w:hyperlink r:id="rId33" w:history="1">
        <w:r w:rsidRPr="00797412">
          <w:rPr>
            <w:rStyle w:val="Hyperlink"/>
          </w:rPr>
          <w:t>https://www.england.nhs.uk/publication/implementing-phase-3-of-the-nhs-response-to-the-covid-19-pandemic/</w:t>
        </w:r>
      </w:hyperlink>
    </w:p>
    <w:p w14:paraId="25AB9674" w14:textId="77777777" w:rsidR="00FE1174" w:rsidRPr="00FE1174" w:rsidRDefault="00FE1174" w:rsidP="00FE1174"/>
    <w:sectPr w:rsidR="00FE1174" w:rsidRPr="00FE1174" w:rsidSect="00D072EA">
      <w:headerReference w:type="default" r:id="rId34"/>
      <w:footerReference w:type="default" r:id="rId3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F2E4B" w14:textId="77777777" w:rsidR="008B3DCF" w:rsidRDefault="008B3DCF" w:rsidP="001B4E81">
      <w:pPr>
        <w:spacing w:after="0" w:line="240" w:lineRule="auto"/>
      </w:pPr>
      <w:r>
        <w:separator/>
      </w:r>
    </w:p>
  </w:endnote>
  <w:endnote w:type="continuationSeparator" w:id="0">
    <w:p w14:paraId="2803A518" w14:textId="77777777" w:rsidR="008B3DCF" w:rsidRDefault="008B3DCF" w:rsidP="001B4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FB593" w14:textId="754BD40A" w:rsidR="00424321" w:rsidRPr="00AF1DEC" w:rsidRDefault="00AF1DEC" w:rsidP="00AF1DEC">
    <w:pPr>
      <w:pStyle w:val="Footer"/>
    </w:pPr>
    <w:r w:rsidRPr="00E76065">
      <w:rPr>
        <w:rFonts w:eastAsiaTheme="minorEastAsia" w:cs="Calibri"/>
        <w:b/>
        <w:bCs/>
        <w:noProof/>
        <w:color w:val="202020"/>
        <w:sz w:val="16"/>
        <w:szCs w:val="16"/>
        <w:lang w:eastAsia="en-GB"/>
      </w:rPr>
      <w:t>As you will already appreciate Guidance is continually changing at a fast pace, therefore Birmingham LMC will be unable to update any links on a regular basis and would respectfully ask that any practice who wish to continue to use this information ensure that these links are updated and validated against the most recent advice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FE1A2" w14:textId="77777777" w:rsidR="008B3DCF" w:rsidRDefault="008B3DCF" w:rsidP="001B4E81">
      <w:pPr>
        <w:spacing w:after="0" w:line="240" w:lineRule="auto"/>
      </w:pPr>
      <w:r>
        <w:separator/>
      </w:r>
    </w:p>
  </w:footnote>
  <w:footnote w:type="continuationSeparator" w:id="0">
    <w:p w14:paraId="34FE355B" w14:textId="77777777" w:rsidR="008B3DCF" w:rsidRDefault="008B3DCF" w:rsidP="001B4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DD41A" w14:textId="7846D095" w:rsidR="001B4E81" w:rsidRDefault="001B4E81" w:rsidP="001B4E81">
    <w:pPr>
      <w:pStyle w:val="Header"/>
      <w:ind w:left="-709"/>
    </w:pPr>
    <w:r>
      <w:rPr>
        <w:noProof/>
      </w:rPr>
      <w:drawing>
        <wp:inline distT="0" distB="0" distL="0" distR="0" wp14:anchorId="0BAA59B0" wp14:editId="09F9C34D">
          <wp:extent cx="6578600" cy="113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1130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20B6"/>
    <w:multiLevelType w:val="hybridMultilevel"/>
    <w:tmpl w:val="E28EE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91CF3"/>
    <w:multiLevelType w:val="hybridMultilevel"/>
    <w:tmpl w:val="81202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247EF"/>
    <w:multiLevelType w:val="hybridMultilevel"/>
    <w:tmpl w:val="2AD0B424"/>
    <w:lvl w:ilvl="0" w:tplc="4746AF00">
      <w:start w:val="1"/>
      <w:numFmt w:val="decimal"/>
      <w:lvlText w:val="%1."/>
      <w:lvlJc w:val="left"/>
      <w:pPr>
        <w:ind w:left="720" w:hanging="360"/>
      </w:pPr>
      <w:rPr>
        <w:rFonts w:cs="Times New Roman"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A2D8D"/>
    <w:multiLevelType w:val="hybridMultilevel"/>
    <w:tmpl w:val="38A68412"/>
    <w:lvl w:ilvl="0" w:tplc="741852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D13B7A"/>
    <w:multiLevelType w:val="hybridMultilevel"/>
    <w:tmpl w:val="8D00D01C"/>
    <w:lvl w:ilvl="0" w:tplc="2646B20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24CB2"/>
    <w:multiLevelType w:val="hybridMultilevel"/>
    <w:tmpl w:val="8EEC685E"/>
    <w:lvl w:ilvl="0" w:tplc="6B32CDD8">
      <w:start w:val="1"/>
      <w:numFmt w:val="decimal"/>
      <w:lvlText w:val="%1."/>
      <w:lvlJc w:val="left"/>
      <w:pPr>
        <w:ind w:left="720" w:hanging="360"/>
      </w:pPr>
      <w:rPr>
        <w:rFonts w:eastAsia="Calibri"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044FB3"/>
    <w:multiLevelType w:val="hybridMultilevel"/>
    <w:tmpl w:val="B5A89C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93F1B"/>
    <w:multiLevelType w:val="hybridMultilevel"/>
    <w:tmpl w:val="3482E350"/>
    <w:lvl w:ilvl="0" w:tplc="0242F58A">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27387C"/>
    <w:multiLevelType w:val="hybridMultilevel"/>
    <w:tmpl w:val="36687C68"/>
    <w:lvl w:ilvl="0" w:tplc="003AFBA2">
      <w:start w:val="1"/>
      <w:numFmt w:val="decimal"/>
      <w:lvlText w:val="%1."/>
      <w:lvlJc w:val="left"/>
      <w:pPr>
        <w:ind w:left="720" w:hanging="360"/>
      </w:pPr>
      <w:rPr>
        <w:rFonts w:eastAsia="Calibri"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F247F"/>
    <w:multiLevelType w:val="hybridMultilevel"/>
    <w:tmpl w:val="AF7A6C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A56B7"/>
    <w:multiLevelType w:val="hybridMultilevel"/>
    <w:tmpl w:val="D0387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E47A36"/>
    <w:multiLevelType w:val="hybridMultilevel"/>
    <w:tmpl w:val="C4DE1D9C"/>
    <w:lvl w:ilvl="0" w:tplc="D8F27E10">
      <w:start w:val="1"/>
      <w:numFmt w:val="decimal"/>
      <w:lvlText w:val="%1."/>
      <w:lvlJc w:val="left"/>
      <w:pPr>
        <w:ind w:left="1080" w:hanging="720"/>
      </w:pPr>
      <w:rPr>
        <w:rFonts w:hint="default"/>
        <w:color w:val="0563C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165568"/>
    <w:multiLevelType w:val="hybridMultilevel"/>
    <w:tmpl w:val="88F6AADE"/>
    <w:lvl w:ilvl="0" w:tplc="B734CF98">
      <w:start w:val="1"/>
      <w:numFmt w:val="decimal"/>
      <w:lvlText w:val="%1."/>
      <w:lvlJc w:val="left"/>
      <w:pPr>
        <w:ind w:left="720" w:hanging="360"/>
      </w:pPr>
      <w:rPr>
        <w:rFonts w:cs="Times New Roman"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C57BB2"/>
    <w:multiLevelType w:val="hybridMultilevel"/>
    <w:tmpl w:val="5E0E9606"/>
    <w:lvl w:ilvl="0" w:tplc="F9001E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585990"/>
    <w:multiLevelType w:val="hybridMultilevel"/>
    <w:tmpl w:val="D610D2AA"/>
    <w:lvl w:ilvl="0" w:tplc="14CC3788">
      <w:start w:val="1"/>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653FB"/>
    <w:multiLevelType w:val="hybridMultilevel"/>
    <w:tmpl w:val="EE1E9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FF2071"/>
    <w:multiLevelType w:val="hybridMultilevel"/>
    <w:tmpl w:val="6A26AC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D57F4"/>
    <w:multiLevelType w:val="hybridMultilevel"/>
    <w:tmpl w:val="BC521E22"/>
    <w:lvl w:ilvl="0" w:tplc="CD78274A">
      <w:start w:val="1"/>
      <w:numFmt w:val="decimal"/>
      <w:lvlText w:val="%1."/>
      <w:lvlJc w:val="left"/>
      <w:pPr>
        <w:ind w:left="720" w:hanging="360"/>
      </w:pPr>
      <w:rPr>
        <w:rFonts w:cstheme="minorHAnsi" w:hint="default"/>
        <w:b/>
        <w:color w:val="20202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57318"/>
    <w:multiLevelType w:val="hybridMultilevel"/>
    <w:tmpl w:val="80A009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851271"/>
    <w:multiLevelType w:val="hybridMultilevel"/>
    <w:tmpl w:val="4E1C0F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CB2428"/>
    <w:multiLevelType w:val="hybridMultilevel"/>
    <w:tmpl w:val="B7FCB9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D2352"/>
    <w:multiLevelType w:val="hybridMultilevel"/>
    <w:tmpl w:val="821E4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7F21FC"/>
    <w:multiLevelType w:val="hybridMultilevel"/>
    <w:tmpl w:val="FB626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03672E"/>
    <w:multiLevelType w:val="hybridMultilevel"/>
    <w:tmpl w:val="F7B6BB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9"/>
  </w:num>
  <w:num w:numId="5">
    <w:abstractNumId w:val="18"/>
  </w:num>
  <w:num w:numId="6">
    <w:abstractNumId w:val="1"/>
  </w:num>
  <w:num w:numId="7">
    <w:abstractNumId w:val="15"/>
  </w:num>
  <w:num w:numId="8">
    <w:abstractNumId w:val="19"/>
  </w:num>
  <w:num w:numId="9">
    <w:abstractNumId w:val="11"/>
  </w:num>
  <w:num w:numId="10">
    <w:abstractNumId w:val="23"/>
  </w:num>
  <w:num w:numId="11">
    <w:abstractNumId w:val="17"/>
  </w:num>
  <w:num w:numId="12">
    <w:abstractNumId w:val="21"/>
  </w:num>
  <w:num w:numId="13">
    <w:abstractNumId w:val="22"/>
  </w:num>
  <w:num w:numId="14">
    <w:abstractNumId w:val="13"/>
  </w:num>
  <w:num w:numId="15">
    <w:abstractNumId w:val="0"/>
  </w:num>
  <w:num w:numId="16">
    <w:abstractNumId w:val="2"/>
  </w:num>
  <w:num w:numId="17">
    <w:abstractNumId w:val="12"/>
  </w:num>
  <w:num w:numId="18">
    <w:abstractNumId w:val="3"/>
  </w:num>
  <w:num w:numId="19">
    <w:abstractNumId w:val="14"/>
  </w:num>
  <w:num w:numId="20">
    <w:abstractNumId w:val="4"/>
  </w:num>
  <w:num w:numId="21">
    <w:abstractNumId w:val="7"/>
  </w:num>
  <w:num w:numId="22">
    <w:abstractNumId w:val="8"/>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E81"/>
    <w:rsid w:val="00000B51"/>
    <w:rsid w:val="0000297C"/>
    <w:rsid w:val="00010C70"/>
    <w:rsid w:val="00020607"/>
    <w:rsid w:val="000525F3"/>
    <w:rsid w:val="00090C38"/>
    <w:rsid w:val="000B48EB"/>
    <w:rsid w:val="000C2FD6"/>
    <w:rsid w:val="000F0353"/>
    <w:rsid w:val="000F7B3E"/>
    <w:rsid w:val="00116EFA"/>
    <w:rsid w:val="0012701E"/>
    <w:rsid w:val="0014236A"/>
    <w:rsid w:val="00177EAB"/>
    <w:rsid w:val="00185027"/>
    <w:rsid w:val="001B002E"/>
    <w:rsid w:val="001B4E81"/>
    <w:rsid w:val="001E09D1"/>
    <w:rsid w:val="001F50DA"/>
    <w:rsid w:val="00222F72"/>
    <w:rsid w:val="00236B39"/>
    <w:rsid w:val="002507C3"/>
    <w:rsid w:val="00257079"/>
    <w:rsid w:val="00267854"/>
    <w:rsid w:val="0027009C"/>
    <w:rsid w:val="0028528B"/>
    <w:rsid w:val="00295018"/>
    <w:rsid w:val="002B0CD6"/>
    <w:rsid w:val="0030252B"/>
    <w:rsid w:val="00322467"/>
    <w:rsid w:val="00326A35"/>
    <w:rsid w:val="00327E09"/>
    <w:rsid w:val="00327F6D"/>
    <w:rsid w:val="003307E4"/>
    <w:rsid w:val="00334058"/>
    <w:rsid w:val="003731E2"/>
    <w:rsid w:val="00393829"/>
    <w:rsid w:val="00394044"/>
    <w:rsid w:val="003A2046"/>
    <w:rsid w:val="003A77C8"/>
    <w:rsid w:val="0042361F"/>
    <w:rsid w:val="00424321"/>
    <w:rsid w:val="004473AE"/>
    <w:rsid w:val="004525D2"/>
    <w:rsid w:val="00471CFB"/>
    <w:rsid w:val="004B5D50"/>
    <w:rsid w:val="004F02FF"/>
    <w:rsid w:val="004F7CC6"/>
    <w:rsid w:val="00531D80"/>
    <w:rsid w:val="00552E3F"/>
    <w:rsid w:val="0056264F"/>
    <w:rsid w:val="00584AE9"/>
    <w:rsid w:val="00594272"/>
    <w:rsid w:val="005B491C"/>
    <w:rsid w:val="005F5155"/>
    <w:rsid w:val="00615375"/>
    <w:rsid w:val="00654AA4"/>
    <w:rsid w:val="0068663F"/>
    <w:rsid w:val="00695059"/>
    <w:rsid w:val="006D030D"/>
    <w:rsid w:val="006D0B43"/>
    <w:rsid w:val="006D4E3F"/>
    <w:rsid w:val="006D742B"/>
    <w:rsid w:val="006E1489"/>
    <w:rsid w:val="006F1FAB"/>
    <w:rsid w:val="0076655F"/>
    <w:rsid w:val="0078159D"/>
    <w:rsid w:val="007F2282"/>
    <w:rsid w:val="007F5F4E"/>
    <w:rsid w:val="007F7396"/>
    <w:rsid w:val="00816E1F"/>
    <w:rsid w:val="00825276"/>
    <w:rsid w:val="0083104F"/>
    <w:rsid w:val="008508A4"/>
    <w:rsid w:val="00875A27"/>
    <w:rsid w:val="008855B8"/>
    <w:rsid w:val="008B0FA0"/>
    <w:rsid w:val="008B3DCF"/>
    <w:rsid w:val="008B5226"/>
    <w:rsid w:val="008C56EA"/>
    <w:rsid w:val="008D0A2E"/>
    <w:rsid w:val="008E369B"/>
    <w:rsid w:val="00906C87"/>
    <w:rsid w:val="00933287"/>
    <w:rsid w:val="0097290E"/>
    <w:rsid w:val="0098382C"/>
    <w:rsid w:val="0098389F"/>
    <w:rsid w:val="009A094B"/>
    <w:rsid w:val="009C67A9"/>
    <w:rsid w:val="009C6938"/>
    <w:rsid w:val="009D2E7D"/>
    <w:rsid w:val="009E4658"/>
    <w:rsid w:val="00A014D7"/>
    <w:rsid w:val="00A15186"/>
    <w:rsid w:val="00A40FF9"/>
    <w:rsid w:val="00A552F2"/>
    <w:rsid w:val="00A7150C"/>
    <w:rsid w:val="00A931FF"/>
    <w:rsid w:val="00AD0E2F"/>
    <w:rsid w:val="00AF1DEC"/>
    <w:rsid w:val="00B561F1"/>
    <w:rsid w:val="00B9088A"/>
    <w:rsid w:val="00BA4459"/>
    <w:rsid w:val="00BC4341"/>
    <w:rsid w:val="00C3130E"/>
    <w:rsid w:val="00C41F18"/>
    <w:rsid w:val="00C638FA"/>
    <w:rsid w:val="00C74A01"/>
    <w:rsid w:val="00C77C64"/>
    <w:rsid w:val="00C8624E"/>
    <w:rsid w:val="00C86677"/>
    <w:rsid w:val="00C93DBF"/>
    <w:rsid w:val="00CF4366"/>
    <w:rsid w:val="00CF6C14"/>
    <w:rsid w:val="00D072EA"/>
    <w:rsid w:val="00D30B9B"/>
    <w:rsid w:val="00D4646D"/>
    <w:rsid w:val="00D72E12"/>
    <w:rsid w:val="00D7308E"/>
    <w:rsid w:val="00D92726"/>
    <w:rsid w:val="00DA4ACC"/>
    <w:rsid w:val="00DA6C3C"/>
    <w:rsid w:val="00DB088B"/>
    <w:rsid w:val="00DB196B"/>
    <w:rsid w:val="00DC15B2"/>
    <w:rsid w:val="00DE71A6"/>
    <w:rsid w:val="00DE7457"/>
    <w:rsid w:val="00DF0C23"/>
    <w:rsid w:val="00E1257D"/>
    <w:rsid w:val="00E13A98"/>
    <w:rsid w:val="00E1676C"/>
    <w:rsid w:val="00E25DBD"/>
    <w:rsid w:val="00E327DD"/>
    <w:rsid w:val="00E40AC3"/>
    <w:rsid w:val="00E62758"/>
    <w:rsid w:val="00E8766D"/>
    <w:rsid w:val="00E9309C"/>
    <w:rsid w:val="00EB64DB"/>
    <w:rsid w:val="00EE6841"/>
    <w:rsid w:val="00EE6876"/>
    <w:rsid w:val="00EF6E32"/>
    <w:rsid w:val="00F20872"/>
    <w:rsid w:val="00F23D9D"/>
    <w:rsid w:val="00F537D1"/>
    <w:rsid w:val="00F727DA"/>
    <w:rsid w:val="00F76452"/>
    <w:rsid w:val="00F82C5D"/>
    <w:rsid w:val="00F94F4F"/>
    <w:rsid w:val="00FC06EF"/>
    <w:rsid w:val="00FC16A8"/>
    <w:rsid w:val="00FC1F7F"/>
    <w:rsid w:val="00FC36AB"/>
    <w:rsid w:val="00FD2F1F"/>
    <w:rsid w:val="00FE1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7B354"/>
  <w15:chartTrackingRefBased/>
  <w15:docId w15:val="{41287DAD-1B66-4E38-8947-F2D66671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8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F1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E81"/>
  </w:style>
  <w:style w:type="paragraph" w:styleId="Footer">
    <w:name w:val="footer"/>
    <w:basedOn w:val="Normal"/>
    <w:link w:val="FooterChar"/>
    <w:uiPriority w:val="99"/>
    <w:unhideWhenUsed/>
    <w:rsid w:val="001B4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E81"/>
  </w:style>
  <w:style w:type="paragraph" w:styleId="ListParagraph">
    <w:name w:val="List Paragraph"/>
    <w:basedOn w:val="Normal"/>
    <w:uiPriority w:val="34"/>
    <w:qFormat/>
    <w:rsid w:val="001B4E81"/>
    <w:pPr>
      <w:ind w:left="720"/>
      <w:contextualSpacing/>
    </w:pPr>
  </w:style>
  <w:style w:type="character" w:styleId="Hyperlink">
    <w:name w:val="Hyperlink"/>
    <w:basedOn w:val="DefaultParagraphFont"/>
    <w:uiPriority w:val="99"/>
    <w:unhideWhenUsed/>
    <w:rsid w:val="006D0B43"/>
    <w:rPr>
      <w:color w:val="0563C1"/>
      <w:u w:val="single"/>
    </w:rPr>
  </w:style>
  <w:style w:type="character" w:styleId="CommentReference">
    <w:name w:val="annotation reference"/>
    <w:basedOn w:val="DefaultParagraphFont"/>
    <w:uiPriority w:val="99"/>
    <w:semiHidden/>
    <w:unhideWhenUsed/>
    <w:rsid w:val="00A7150C"/>
    <w:rPr>
      <w:sz w:val="16"/>
      <w:szCs w:val="16"/>
    </w:rPr>
  </w:style>
  <w:style w:type="paragraph" w:styleId="CommentText">
    <w:name w:val="annotation text"/>
    <w:basedOn w:val="Normal"/>
    <w:link w:val="CommentTextChar"/>
    <w:uiPriority w:val="99"/>
    <w:semiHidden/>
    <w:unhideWhenUsed/>
    <w:rsid w:val="00A7150C"/>
    <w:pPr>
      <w:spacing w:line="240" w:lineRule="auto"/>
    </w:pPr>
    <w:rPr>
      <w:sz w:val="20"/>
      <w:szCs w:val="20"/>
    </w:rPr>
  </w:style>
  <w:style w:type="character" w:customStyle="1" w:styleId="CommentTextChar">
    <w:name w:val="Comment Text Char"/>
    <w:basedOn w:val="DefaultParagraphFont"/>
    <w:link w:val="CommentText"/>
    <w:uiPriority w:val="99"/>
    <w:semiHidden/>
    <w:rsid w:val="00A7150C"/>
    <w:rPr>
      <w:sz w:val="20"/>
      <w:szCs w:val="20"/>
    </w:rPr>
  </w:style>
  <w:style w:type="paragraph" w:styleId="CommentSubject">
    <w:name w:val="annotation subject"/>
    <w:basedOn w:val="CommentText"/>
    <w:next w:val="CommentText"/>
    <w:link w:val="CommentSubjectChar"/>
    <w:uiPriority w:val="99"/>
    <w:semiHidden/>
    <w:unhideWhenUsed/>
    <w:rsid w:val="00A7150C"/>
    <w:rPr>
      <w:b/>
      <w:bCs/>
    </w:rPr>
  </w:style>
  <w:style w:type="character" w:customStyle="1" w:styleId="CommentSubjectChar">
    <w:name w:val="Comment Subject Char"/>
    <w:basedOn w:val="CommentTextChar"/>
    <w:link w:val="CommentSubject"/>
    <w:uiPriority w:val="99"/>
    <w:semiHidden/>
    <w:rsid w:val="00A7150C"/>
    <w:rPr>
      <w:b/>
      <w:bCs/>
      <w:sz w:val="20"/>
      <w:szCs w:val="20"/>
    </w:rPr>
  </w:style>
  <w:style w:type="paragraph" w:styleId="BalloonText">
    <w:name w:val="Balloon Text"/>
    <w:basedOn w:val="Normal"/>
    <w:link w:val="BalloonTextChar"/>
    <w:uiPriority w:val="99"/>
    <w:semiHidden/>
    <w:unhideWhenUsed/>
    <w:rsid w:val="00A71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50C"/>
    <w:rPr>
      <w:rFonts w:ascii="Segoe UI" w:hAnsi="Segoe UI" w:cs="Segoe UI"/>
      <w:sz w:val="18"/>
      <w:szCs w:val="18"/>
    </w:rPr>
  </w:style>
  <w:style w:type="character" w:styleId="UnresolvedMention">
    <w:name w:val="Unresolved Mention"/>
    <w:basedOn w:val="DefaultParagraphFont"/>
    <w:uiPriority w:val="99"/>
    <w:semiHidden/>
    <w:unhideWhenUsed/>
    <w:rsid w:val="00177EAB"/>
    <w:rPr>
      <w:color w:val="605E5C"/>
      <w:shd w:val="clear" w:color="auto" w:fill="E1DFDD"/>
    </w:rPr>
  </w:style>
  <w:style w:type="character" w:styleId="FollowedHyperlink">
    <w:name w:val="FollowedHyperlink"/>
    <w:basedOn w:val="DefaultParagraphFont"/>
    <w:uiPriority w:val="99"/>
    <w:semiHidden/>
    <w:unhideWhenUsed/>
    <w:rsid w:val="00CF6C14"/>
    <w:rPr>
      <w:color w:val="954F72" w:themeColor="followedHyperlink"/>
      <w:u w:val="single"/>
    </w:rPr>
  </w:style>
  <w:style w:type="character" w:customStyle="1" w:styleId="Heading1Char">
    <w:name w:val="Heading 1 Char"/>
    <w:basedOn w:val="DefaultParagraphFont"/>
    <w:link w:val="Heading1"/>
    <w:uiPriority w:val="9"/>
    <w:rsid w:val="009838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8389F"/>
    <w:pPr>
      <w:outlineLvl w:val="9"/>
    </w:pPr>
    <w:rPr>
      <w:lang w:val="en-US"/>
    </w:rPr>
  </w:style>
  <w:style w:type="paragraph" w:styleId="TOC1">
    <w:name w:val="toc 1"/>
    <w:basedOn w:val="Normal"/>
    <w:next w:val="Normal"/>
    <w:autoRedefine/>
    <w:uiPriority w:val="39"/>
    <w:unhideWhenUsed/>
    <w:rsid w:val="007F5F4E"/>
    <w:pPr>
      <w:spacing w:after="100"/>
    </w:pPr>
  </w:style>
  <w:style w:type="character" w:customStyle="1" w:styleId="Heading2Char">
    <w:name w:val="Heading 2 Char"/>
    <w:basedOn w:val="DefaultParagraphFont"/>
    <w:link w:val="Heading2"/>
    <w:uiPriority w:val="9"/>
    <w:semiHidden/>
    <w:rsid w:val="00AF1DE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473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F7B3E"/>
    <w:pPr>
      <w:spacing w:after="0" w:line="240" w:lineRule="auto"/>
    </w:pPr>
    <w:rPr>
      <w:rFonts w:ascii="Calibri" w:hAnsi="Calibri" w:cs="Times New Roman"/>
    </w:rPr>
  </w:style>
  <w:style w:type="paragraph" w:customStyle="1" w:styleId="xmsonormal">
    <w:name w:val="xmsonormal"/>
    <w:basedOn w:val="Normal"/>
    <w:rsid w:val="00906C87"/>
    <w:pPr>
      <w:spacing w:after="0" w:line="240" w:lineRule="auto"/>
    </w:pPr>
    <w:rPr>
      <w:rFonts w:ascii="Calibri" w:hAnsi="Calibri" w:cs="Times New Roman"/>
      <w:lang w:eastAsia="en-GB"/>
    </w:rPr>
  </w:style>
  <w:style w:type="character" w:styleId="Strong">
    <w:name w:val="Strong"/>
    <w:basedOn w:val="DefaultParagraphFont"/>
    <w:uiPriority w:val="22"/>
    <w:qFormat/>
    <w:rsid w:val="003938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88850">
      <w:bodyDiv w:val="1"/>
      <w:marLeft w:val="0"/>
      <w:marRight w:val="0"/>
      <w:marTop w:val="0"/>
      <w:marBottom w:val="0"/>
      <w:divBdr>
        <w:top w:val="none" w:sz="0" w:space="0" w:color="auto"/>
        <w:left w:val="none" w:sz="0" w:space="0" w:color="auto"/>
        <w:bottom w:val="none" w:sz="0" w:space="0" w:color="auto"/>
        <w:right w:val="none" w:sz="0" w:space="0" w:color="auto"/>
      </w:divBdr>
    </w:div>
    <w:div w:id="415781729">
      <w:bodyDiv w:val="1"/>
      <w:marLeft w:val="0"/>
      <w:marRight w:val="0"/>
      <w:marTop w:val="0"/>
      <w:marBottom w:val="0"/>
      <w:divBdr>
        <w:top w:val="none" w:sz="0" w:space="0" w:color="auto"/>
        <w:left w:val="none" w:sz="0" w:space="0" w:color="auto"/>
        <w:bottom w:val="none" w:sz="0" w:space="0" w:color="auto"/>
        <w:right w:val="none" w:sz="0" w:space="0" w:color="auto"/>
      </w:divBdr>
    </w:div>
    <w:div w:id="569582925">
      <w:bodyDiv w:val="1"/>
      <w:marLeft w:val="0"/>
      <w:marRight w:val="0"/>
      <w:marTop w:val="0"/>
      <w:marBottom w:val="0"/>
      <w:divBdr>
        <w:top w:val="none" w:sz="0" w:space="0" w:color="auto"/>
        <w:left w:val="none" w:sz="0" w:space="0" w:color="auto"/>
        <w:bottom w:val="none" w:sz="0" w:space="0" w:color="auto"/>
        <w:right w:val="none" w:sz="0" w:space="0" w:color="auto"/>
      </w:divBdr>
    </w:div>
    <w:div w:id="1330788402">
      <w:bodyDiv w:val="1"/>
      <w:marLeft w:val="0"/>
      <w:marRight w:val="0"/>
      <w:marTop w:val="0"/>
      <w:marBottom w:val="0"/>
      <w:divBdr>
        <w:top w:val="none" w:sz="0" w:space="0" w:color="auto"/>
        <w:left w:val="none" w:sz="0" w:space="0" w:color="auto"/>
        <w:bottom w:val="none" w:sz="0" w:space="0" w:color="auto"/>
        <w:right w:val="none" w:sz="0" w:space="0" w:color="auto"/>
      </w:divBdr>
    </w:div>
    <w:div w:id="1377003969">
      <w:bodyDiv w:val="1"/>
      <w:marLeft w:val="0"/>
      <w:marRight w:val="0"/>
      <w:marTop w:val="0"/>
      <w:marBottom w:val="0"/>
      <w:divBdr>
        <w:top w:val="none" w:sz="0" w:space="0" w:color="auto"/>
        <w:left w:val="none" w:sz="0" w:space="0" w:color="auto"/>
        <w:bottom w:val="none" w:sz="0" w:space="0" w:color="auto"/>
        <w:right w:val="none" w:sz="0" w:space="0" w:color="auto"/>
      </w:divBdr>
    </w:div>
    <w:div w:id="1530409237">
      <w:bodyDiv w:val="1"/>
      <w:marLeft w:val="0"/>
      <w:marRight w:val="0"/>
      <w:marTop w:val="0"/>
      <w:marBottom w:val="0"/>
      <w:divBdr>
        <w:top w:val="none" w:sz="0" w:space="0" w:color="auto"/>
        <w:left w:val="none" w:sz="0" w:space="0" w:color="auto"/>
        <w:bottom w:val="none" w:sz="0" w:space="0" w:color="auto"/>
        <w:right w:val="none" w:sz="0" w:space="0" w:color="auto"/>
      </w:divBdr>
    </w:div>
    <w:div w:id="1600987787">
      <w:bodyDiv w:val="1"/>
      <w:marLeft w:val="0"/>
      <w:marRight w:val="0"/>
      <w:marTop w:val="0"/>
      <w:marBottom w:val="0"/>
      <w:divBdr>
        <w:top w:val="none" w:sz="0" w:space="0" w:color="auto"/>
        <w:left w:val="none" w:sz="0" w:space="0" w:color="auto"/>
        <w:bottom w:val="none" w:sz="0" w:space="0" w:color="auto"/>
        <w:right w:val="none" w:sz="0" w:space="0" w:color="auto"/>
      </w:divBdr>
    </w:div>
    <w:div w:id="170721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coronavirus/publication/making-the-universal-offer-of-vaccination-to-jcvi-cohorts-1-4-ahead-of-february-15-and-additional-funding-for-vaccination-of-housebound-patients/" TargetMode="External"/><Relationship Id="rId18" Type="http://schemas.openxmlformats.org/officeDocument/2006/relationships/hyperlink" Target="https://digital.nhs.uk/coronavirus/shielded-patient-list/guidance-for-general-practice" TargetMode="External"/><Relationship Id="rId26" Type="http://schemas.openxmlformats.org/officeDocument/2006/relationships/hyperlink" Target="https://www.england.nhs.uk/statistics/statistical-work-areas/covid-19-vaccinations/" TargetMode="External"/><Relationship Id="rId21" Type="http://schemas.openxmlformats.org/officeDocument/2006/relationships/image" Target="media/image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pds.palantirfoundry.co.uk/secure-upload/forms/q6gbypyjx7c6yoxmazhvcsol2u" TargetMode="External"/><Relationship Id="rId17" Type="http://schemas.openxmlformats.org/officeDocument/2006/relationships/hyperlink" Target="https://www.england.nhs.uk/coronavirus/publication/mutual-aid-and-the-transfer-of-covid-19-vaccines-between-hospital-hubs-vaccination-centres-and-local-vaccination-services/" TargetMode="External"/><Relationship Id="rId25" Type="http://schemas.openxmlformats.org/officeDocument/2006/relationships/hyperlink" Target="https://coronavirus.data.gov.uk/details/vaccinations" TargetMode="External"/><Relationship Id="rId33" Type="http://schemas.openxmlformats.org/officeDocument/2006/relationships/hyperlink" Target="https://www.england.nhs.uk/publication/implementing-phase-3-of-the-nhs-response-to-the-covid-19-pandemic/" TargetMode="External"/><Relationship Id="rId2" Type="http://schemas.openxmlformats.org/officeDocument/2006/relationships/customXml" Target="../customXml/item2.xml"/><Relationship Id="rId16" Type="http://schemas.openxmlformats.org/officeDocument/2006/relationships/hyperlink" Target="https://www.england.nhs.uk/coronavirus/publication/position-statement-for-the-vaccination-of-care-home-residents-using-covid-19-vaccine-astrazeneca-az/" TargetMode="External"/><Relationship Id="rId20" Type="http://schemas.openxmlformats.org/officeDocument/2006/relationships/hyperlink" Target="https://future.nhs.uk/connect.ti/P_C_N/viewdocument?docId=89690245" TargetMode="External"/><Relationship Id="rId29" Type="http://schemas.openxmlformats.org/officeDocument/2006/relationships/hyperlink" Target="https://www.england.nhs.uk/coronavirus/publication/preparedness-letters-for-general-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coronavirus/publication/making-the-universal-offer-of-vaccination-to-jcvi-cohorts-1-4-ahead-of-february-15-and-additional-funding-for-vaccination-of-housebound-patients/" TargetMode="External"/><Relationship Id="rId24" Type="http://schemas.openxmlformats.org/officeDocument/2006/relationships/hyperlink" Target="https://digital.nhs.uk/coronavirus/vaccinations/gp-covid-19-vaccination-record-queries" TargetMode="External"/><Relationship Id="rId32" Type="http://schemas.openxmlformats.org/officeDocument/2006/relationships/hyperlink" Target="https://www.gov.uk/coronaviru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gland.nhs.uk/coronavirus/publication/covid-19-vaccine-oxford-astrazeneca-movement-vaccine/" TargetMode="External"/><Relationship Id="rId23" Type="http://schemas.openxmlformats.org/officeDocument/2006/relationships/hyperlink" Target="https://assets.publishing.service.gov.uk/government/uploads/system/uploads/attachment_data/file/955548/Greenbook_chapter_14a_v6.pdf" TargetMode="External"/><Relationship Id="rId28" Type="http://schemas.openxmlformats.org/officeDocument/2006/relationships/hyperlink" Target="https://public.flourish.studio/story/72757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gland.nhs.uk/coronavirus/publication/making-the-universal-offer-of-vaccination-to-jcvi-cohorts-1-4-ahead-of-february-15-and-additional-funding-for-vaccination-of-housebound-patients/" TargetMode="External"/><Relationship Id="rId31" Type="http://schemas.openxmlformats.org/officeDocument/2006/relationships/hyperlink" Target="https://www.bma.org.uk/advice-and-support/covid-19/gp-practices/covid-19-toolkit-for-gps-and-gp-pract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publication/standard-operating-procedure-covid-19-local-vaccination-services-deployment-in-community-settings/" TargetMode="External"/><Relationship Id="rId22" Type="http://schemas.openxmlformats.org/officeDocument/2006/relationships/image" Target="cid:651B5720-48A1-47AA-8453-17E188AE1BC1" TargetMode="External"/><Relationship Id="rId27" Type="http://schemas.openxmlformats.org/officeDocument/2006/relationships/hyperlink" Target="https://www.bma.org.uk/advice-and-support/covid-19/what-the-bma-is-doing/covid-19-bma-actions-and-policy/covid-19-analysing-the-impact-of-coronavirus-on-doctors" TargetMode="External"/><Relationship Id="rId30" Type="http://schemas.openxmlformats.org/officeDocument/2006/relationships/hyperlink" Target="mailto:birmingham.lmc@nhs.net"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0B80C9FDD04408DEF8BEF3C8D0597" ma:contentTypeVersion="10" ma:contentTypeDescription="Create a new document." ma:contentTypeScope="" ma:versionID="d62ef4803e0004c08ec6002638139d1f">
  <xsd:schema xmlns:xsd="http://www.w3.org/2001/XMLSchema" xmlns:xs="http://www.w3.org/2001/XMLSchema" xmlns:p="http://schemas.microsoft.com/office/2006/metadata/properties" xmlns:ns2="69cd0928-9a77-479c-a3b1-4e21cbd99e9f" targetNamespace="http://schemas.microsoft.com/office/2006/metadata/properties" ma:root="true" ma:fieldsID="e7eca9b3391a59dc6f1659c05214d089" ns2:_="">
    <xsd:import namespace="69cd0928-9a77-479c-a3b1-4e21cbd99e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d0928-9a77-479c-a3b1-4e21cbd9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720CC2-90F5-4764-B331-18B3D6F5B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d0928-9a77-479c-a3b1-4e21cbd99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69936-824E-466E-8CC5-7241F24BD58B}">
  <ds:schemaRefs>
    <ds:schemaRef ds:uri="http://schemas.openxmlformats.org/officeDocument/2006/bibliography"/>
  </ds:schemaRefs>
</ds:datastoreItem>
</file>

<file path=customXml/itemProps3.xml><?xml version="1.0" encoding="utf-8"?>
<ds:datastoreItem xmlns:ds="http://schemas.openxmlformats.org/officeDocument/2006/customXml" ds:itemID="{F906EE9D-2F8B-4635-9297-3FAE2F314C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E2F667-11CC-4666-9228-319274F3E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Mason</dc:creator>
  <cp:keywords/>
  <dc:description/>
  <cp:lastModifiedBy>Jenni Downes</cp:lastModifiedBy>
  <cp:revision>5</cp:revision>
  <dcterms:created xsi:type="dcterms:W3CDTF">2021-02-09T11:47:00Z</dcterms:created>
  <dcterms:modified xsi:type="dcterms:W3CDTF">2021-02-09T15:48:00Z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0x010100BF50B80C9FDD04408DEF8BEF3C8D0597</vt:lpwstr>
  </property>
</Properties>
</file>