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p"/>
    <w:bookmarkEnd w:id="0"/>
    <w:p w14:paraId="6DF7E79E" w14:textId="0B94CBD7" w:rsidR="0014236A" w:rsidRDefault="001B4E81" w:rsidP="00825276">
      <w:pPr>
        <w:jc w:val="center"/>
        <w:rPr>
          <w:b/>
          <w:bCs/>
          <w:i/>
          <w:iCs/>
          <w:color w:val="4472C4" w:themeColor="accent1"/>
          <w:sz w:val="32"/>
          <w:szCs w:val="32"/>
        </w:rPr>
      </w:pPr>
      <w:r>
        <w:rPr>
          <w:noProof/>
        </w:rPr>
        <mc:AlternateContent>
          <mc:Choice Requires="wps">
            <w:drawing>
              <wp:anchor distT="91440" distB="91440" distL="114300" distR="114300" simplePos="0" relativeHeight="251659264" behindDoc="0" locked="0" layoutInCell="1" allowOverlap="1" wp14:anchorId="067BC79F" wp14:editId="5E085179">
                <wp:simplePos x="0" y="0"/>
                <wp:positionH relativeFrom="page">
                  <wp:posOffset>946150</wp:posOffset>
                </wp:positionH>
                <wp:positionV relativeFrom="paragraph">
                  <wp:posOffset>220980</wp:posOffset>
                </wp:positionV>
                <wp:extent cx="5492750" cy="736600"/>
                <wp:effectExtent l="0" t="0" r="0" b="63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6600"/>
                        </a:xfrm>
                        <a:prstGeom prst="rect">
                          <a:avLst/>
                        </a:prstGeom>
                        <a:noFill/>
                        <a:ln w="9525">
                          <a:noFill/>
                          <a:miter lim="800000"/>
                          <a:headEnd/>
                          <a:tailEnd/>
                        </a:ln>
                      </wps:spPr>
                      <wps:txbx>
                        <w:txbxContent>
                          <w:p w14:paraId="2E6CEEA0" w14:textId="27BE3234"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WEEKLY NEWSLETTER –</w:t>
                            </w:r>
                            <w:r w:rsidR="00A014D7">
                              <w:rPr>
                                <w:b/>
                                <w:bCs/>
                                <w:i/>
                                <w:iCs/>
                                <w:color w:val="4472C4" w:themeColor="accent1"/>
                                <w:sz w:val="44"/>
                                <w:szCs w:val="44"/>
                              </w:rPr>
                              <w:t xml:space="preserve"> </w:t>
                            </w:r>
                            <w:r w:rsidR="007E4D99">
                              <w:rPr>
                                <w:b/>
                                <w:bCs/>
                                <w:i/>
                                <w:iCs/>
                                <w:color w:val="4472C4" w:themeColor="accent1"/>
                                <w:sz w:val="44"/>
                                <w:szCs w:val="44"/>
                              </w:rPr>
                              <w:t>16</w:t>
                            </w:r>
                            <w:r w:rsidR="00A014D7">
                              <w:rPr>
                                <w:b/>
                                <w:bCs/>
                                <w:i/>
                                <w:iCs/>
                                <w:color w:val="4472C4" w:themeColor="accent1"/>
                                <w:sz w:val="44"/>
                                <w:szCs w:val="44"/>
                              </w:rPr>
                              <w:t>th</w:t>
                            </w:r>
                            <w:r w:rsidR="00000B51">
                              <w:rPr>
                                <w:b/>
                                <w:bCs/>
                                <w:i/>
                                <w:iCs/>
                                <w:color w:val="4472C4" w:themeColor="accent1"/>
                                <w:sz w:val="44"/>
                                <w:szCs w:val="44"/>
                              </w:rPr>
                              <w:t xml:space="preserve"> February</w:t>
                            </w:r>
                            <w:r w:rsidR="00A15186">
                              <w:rPr>
                                <w:b/>
                                <w:bCs/>
                                <w:i/>
                                <w:iCs/>
                                <w:color w:val="4472C4" w:themeColor="accent1"/>
                                <w:sz w:val="44"/>
                                <w:szCs w:val="44"/>
                              </w:rPr>
                              <w:t xml:space="preserve">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7BC79F" id="_x0000_t202" coordsize="21600,21600" o:spt="202" path="m,l,21600r21600,l21600,xe">
                <v:stroke joinstyle="miter"/>
                <v:path gradientshapeok="t" o:connecttype="rect"/>
              </v:shapetype>
              <v:shape id="Text Box 2" o:spid="_x0000_s1026" type="#_x0000_t202" style="position:absolute;left:0;text-align:left;margin-left:74.5pt;margin-top:17.4pt;width:432.5pt;height:58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clDAIAAPQDAAAOAAAAZHJzL2Uyb0RvYy54bWysU9tuGyEQfa/Uf0C817ve+BKvjKM0aapK&#10;6UVK+gGYZb2owFDA3nW/vgPrOFb7VpUHxDAzhzlnhvXNYDQ5SB8UWEank5ISaQU0yu4Y/f788O6a&#10;khC5bbgGKxk9ykBvNm/frHtXywo60I30BEFsqHvHaBejq4siiE4aHibgpEVnC97wiKbfFY3nPaIb&#10;XVRluSh68I3zIGQIeHs/Oukm47etFPFr2wYZiWYUa4t593nfpr3YrHm989x1SpzK4P9QheHK4qNn&#10;qHseOdl79ReUUcJDgDZOBJgC2lYJmTkgm2n5B5unjjuZuaA4wZ1lCv8PVnw5fPNENYxelUtKLDfY&#10;pGc5RPIeBlIlfXoXagx7chgYB7zGPmeuwT2C+BGIhbuO25289R76TvIG65umzOIidcQJCWTbf4YG&#10;n+H7CBloaL1J4qEcBNGxT8dzb1IpAi/ns1W1nKNLoG95tViUuXkFr1+ynQ/xowRD0oFRj73P6Pzw&#10;GGKqhtcvIekxCw9K69x/bUnP6GpezXPChceoiOOplWH0ukxrHJhE8oNtcnLkSo9nfEDbE+tEdKQc&#10;h+2AgUmKLTRH5O9hHEP8NnjowP+ipMcRZDT83HMvKdGfLGq4ms5maWazMZsvKzT8pWd76eFWIBSj&#10;kZLxeBfznI9cb1HrVmUZXis51YqjldU5fYM0u5d2jnr9rJvfAAAA//8DAFBLAwQUAAYACAAAACEA&#10;6SsiRd4AAAALAQAADwAAAGRycy9kb3ducmV2LnhtbEyPT0/DMAzF70h8h8hI3Fgy6NDWNZ0QiCuI&#10;8UfazWu8tqJxqiZby7fHO8HNz356fr9iM/lOnWiIbWAL85kBRVwF13Jt4eP9+WYJKiZkh11gsvBD&#10;ETbl5UWBuQsjv9Fpm2olIRxztNCk1Odax6ohj3EWemK5HcLgMYkcau0GHCXcd/rWmHvtsWX50GBP&#10;jw1V39ujt/D5cth9Zea1fvKLfgyT0exX2trrq+lhDSrRlP7McK4v1aGUTvtwZBdVJzpbCUuycJcJ&#10;wtlg5pls9jItzBJ0Wej/DOUvAAAA//8DAFBLAQItABQABgAIAAAAIQC2gziS/gAAAOEBAAATAAAA&#10;AAAAAAAAAAAAAAAAAABbQ29udGVudF9UeXBlc10ueG1sUEsBAi0AFAAGAAgAAAAhADj9If/WAAAA&#10;lAEAAAsAAAAAAAAAAAAAAAAALwEAAF9yZWxzLy5yZWxzUEsBAi0AFAAGAAgAAAAhADuRFyUMAgAA&#10;9AMAAA4AAAAAAAAAAAAAAAAALgIAAGRycy9lMm9Eb2MueG1sUEsBAi0AFAAGAAgAAAAhAOkrIkXe&#10;AAAACwEAAA8AAAAAAAAAAAAAAAAAZgQAAGRycy9kb3ducmV2LnhtbFBLBQYAAAAABAAEAPMAAABx&#10;BQAAAAA=&#10;" filled="f" stroked="f">
                <v:textbox>
                  <w:txbxContent>
                    <w:p w14:paraId="2E6CEEA0" w14:textId="27BE3234" w:rsidR="001B4E81" w:rsidRPr="00267854" w:rsidRDefault="001B4E81">
                      <w:pPr>
                        <w:pBdr>
                          <w:top w:val="single" w:sz="24" w:space="8" w:color="4472C4" w:themeColor="accent1"/>
                          <w:bottom w:val="single" w:sz="24" w:space="8" w:color="4472C4" w:themeColor="accent1"/>
                        </w:pBdr>
                        <w:spacing w:after="0"/>
                        <w:rPr>
                          <w:b/>
                          <w:bCs/>
                          <w:i/>
                          <w:iCs/>
                          <w:color w:val="4472C4" w:themeColor="accent1"/>
                          <w:sz w:val="44"/>
                          <w:szCs w:val="44"/>
                        </w:rPr>
                      </w:pPr>
                      <w:r w:rsidRPr="00267854">
                        <w:rPr>
                          <w:b/>
                          <w:bCs/>
                          <w:i/>
                          <w:iCs/>
                          <w:color w:val="4472C4" w:themeColor="accent1"/>
                          <w:sz w:val="44"/>
                          <w:szCs w:val="44"/>
                        </w:rPr>
                        <w:t>WEEKLY NEWSLETTER –</w:t>
                      </w:r>
                      <w:r w:rsidR="00A014D7">
                        <w:rPr>
                          <w:b/>
                          <w:bCs/>
                          <w:i/>
                          <w:iCs/>
                          <w:color w:val="4472C4" w:themeColor="accent1"/>
                          <w:sz w:val="44"/>
                          <w:szCs w:val="44"/>
                        </w:rPr>
                        <w:t xml:space="preserve"> </w:t>
                      </w:r>
                      <w:r w:rsidR="007E4D99">
                        <w:rPr>
                          <w:b/>
                          <w:bCs/>
                          <w:i/>
                          <w:iCs/>
                          <w:color w:val="4472C4" w:themeColor="accent1"/>
                          <w:sz w:val="44"/>
                          <w:szCs w:val="44"/>
                        </w:rPr>
                        <w:t>16</w:t>
                      </w:r>
                      <w:r w:rsidR="00A014D7">
                        <w:rPr>
                          <w:b/>
                          <w:bCs/>
                          <w:i/>
                          <w:iCs/>
                          <w:color w:val="4472C4" w:themeColor="accent1"/>
                          <w:sz w:val="44"/>
                          <w:szCs w:val="44"/>
                        </w:rPr>
                        <w:t>th</w:t>
                      </w:r>
                      <w:r w:rsidR="00000B51">
                        <w:rPr>
                          <w:b/>
                          <w:bCs/>
                          <w:i/>
                          <w:iCs/>
                          <w:color w:val="4472C4" w:themeColor="accent1"/>
                          <w:sz w:val="44"/>
                          <w:szCs w:val="44"/>
                        </w:rPr>
                        <w:t xml:space="preserve"> February</w:t>
                      </w:r>
                      <w:r w:rsidR="00A15186">
                        <w:rPr>
                          <w:b/>
                          <w:bCs/>
                          <w:i/>
                          <w:iCs/>
                          <w:color w:val="4472C4" w:themeColor="accent1"/>
                          <w:sz w:val="44"/>
                          <w:szCs w:val="44"/>
                        </w:rPr>
                        <w:t xml:space="preserve"> 2021</w:t>
                      </w:r>
                    </w:p>
                  </w:txbxContent>
                </v:textbox>
                <w10:wrap type="topAndBottom" anchorx="page"/>
              </v:shape>
            </w:pict>
          </mc:Fallback>
        </mc:AlternateContent>
      </w:r>
      <w:r w:rsidR="00AF1DEC">
        <w:rPr>
          <w:b/>
          <w:bCs/>
          <w:i/>
          <w:iCs/>
          <w:color w:val="4472C4" w:themeColor="accent1"/>
          <w:sz w:val="32"/>
          <w:szCs w:val="32"/>
        </w:rPr>
        <w:t>E</w:t>
      </w:r>
      <w:r w:rsidR="00AF1DEC" w:rsidRPr="003444A3">
        <w:rPr>
          <w:b/>
          <w:bCs/>
          <w:i/>
          <w:iCs/>
          <w:color w:val="4472C4" w:themeColor="accent1"/>
          <w:sz w:val="32"/>
          <w:szCs w:val="32"/>
        </w:rPr>
        <w:t>XTRAORDINARY COVID-19 UPDATE</w:t>
      </w:r>
    </w:p>
    <w:p w14:paraId="08192228" w14:textId="5B7296C4" w:rsidR="00825276" w:rsidRPr="00E9309C" w:rsidRDefault="00825276" w:rsidP="00E9309C">
      <w:pPr>
        <w:rPr>
          <w:b/>
          <w:bCs/>
          <w:color w:val="000000"/>
        </w:rPr>
      </w:pPr>
    </w:p>
    <w:p w14:paraId="385584B2" w14:textId="1F52D946" w:rsidR="00825276" w:rsidRPr="00E13A98" w:rsidRDefault="00396A6B" w:rsidP="0059792C">
      <w:pPr>
        <w:pStyle w:val="ListParagraph"/>
        <w:numPr>
          <w:ilvl w:val="0"/>
          <w:numId w:val="8"/>
        </w:numPr>
        <w:rPr>
          <w:b/>
          <w:bCs/>
          <w:color w:val="000000"/>
        </w:rPr>
      </w:pPr>
      <w:hyperlink w:anchor="Mark_1" w:history="1">
        <w:r w:rsidR="002006C6" w:rsidRPr="00396A6B">
          <w:rPr>
            <w:rStyle w:val="Hyperlink"/>
            <w:b/>
            <w:bCs/>
          </w:rPr>
          <w:t>COVID-19 Population Risk Assessment</w:t>
        </w:r>
      </w:hyperlink>
    </w:p>
    <w:p w14:paraId="6E90F7F9" w14:textId="4196A294" w:rsidR="00E13A98" w:rsidRPr="00E13A98" w:rsidRDefault="00396A6B" w:rsidP="00E13A98">
      <w:pPr>
        <w:pStyle w:val="ListParagraph"/>
        <w:numPr>
          <w:ilvl w:val="0"/>
          <w:numId w:val="8"/>
        </w:numPr>
        <w:rPr>
          <w:b/>
          <w:bCs/>
          <w:color w:val="000000"/>
        </w:rPr>
      </w:pPr>
      <w:hyperlink w:anchor="Mark_2" w:history="1">
        <w:r w:rsidR="002006C6" w:rsidRPr="00396A6B">
          <w:rPr>
            <w:rStyle w:val="Hyperlink"/>
            <w:b/>
            <w:bCs/>
          </w:rPr>
          <w:t>Transport of Astra Zeneca vaccine to GP practices within the PCN Grouping  </w:t>
        </w:r>
      </w:hyperlink>
    </w:p>
    <w:p w14:paraId="531433B8" w14:textId="7230BB7F" w:rsidR="00F94F4F" w:rsidRPr="006E1489" w:rsidRDefault="00396A6B" w:rsidP="0059792C">
      <w:pPr>
        <w:pStyle w:val="ListParagraph"/>
        <w:numPr>
          <w:ilvl w:val="0"/>
          <w:numId w:val="8"/>
        </w:numPr>
        <w:rPr>
          <w:b/>
          <w:bCs/>
          <w:color w:val="000000"/>
        </w:rPr>
      </w:pPr>
      <w:hyperlink w:anchor="Mark_3" w:history="1">
        <w:r w:rsidR="002006C6" w:rsidRPr="00396A6B">
          <w:rPr>
            <w:rStyle w:val="Hyperlink"/>
            <w:b/>
            <w:bCs/>
          </w:rPr>
          <w:t>COVID Vaccination invites JCVI cohorts 5 and 6</w:t>
        </w:r>
      </w:hyperlink>
    </w:p>
    <w:p w14:paraId="7ACBC128" w14:textId="42F32C12" w:rsidR="006E1489" w:rsidRDefault="00396A6B" w:rsidP="0059792C">
      <w:pPr>
        <w:pStyle w:val="ListParagraph"/>
        <w:numPr>
          <w:ilvl w:val="0"/>
          <w:numId w:val="8"/>
        </w:numPr>
        <w:rPr>
          <w:b/>
          <w:bCs/>
          <w:color w:val="000000"/>
        </w:rPr>
      </w:pPr>
      <w:hyperlink w:anchor="Mark_4" w:history="1">
        <w:r w:rsidR="002006C6" w:rsidRPr="00396A6B">
          <w:rPr>
            <w:rStyle w:val="Hyperlink"/>
            <w:b/>
            <w:bCs/>
          </w:rPr>
          <w:t>Vaccination of frontline health and social care workers </w:t>
        </w:r>
      </w:hyperlink>
    </w:p>
    <w:p w14:paraId="02E2D5AA" w14:textId="008A8BAA" w:rsidR="00327E09" w:rsidRPr="002006C6" w:rsidRDefault="00396A6B" w:rsidP="002006C6">
      <w:pPr>
        <w:pStyle w:val="ListParagraph"/>
        <w:numPr>
          <w:ilvl w:val="0"/>
          <w:numId w:val="8"/>
        </w:numPr>
        <w:rPr>
          <w:rStyle w:val="Hyperlink"/>
          <w:b/>
          <w:bCs/>
          <w:color w:val="000000"/>
          <w:u w:val="none"/>
          <w:lang w:eastAsia="en-GB"/>
        </w:rPr>
      </w:pPr>
      <w:hyperlink w:anchor="Mark_5" w:history="1">
        <w:r w:rsidR="002006C6" w:rsidRPr="00396A6B">
          <w:rPr>
            <w:rStyle w:val="Hyperlink"/>
            <w:b/>
            <w:bCs/>
            <w:lang w:eastAsia="en-GB"/>
          </w:rPr>
          <w:t>Freeing up practices to support COVID-19 vaccination  </w:t>
        </w:r>
      </w:hyperlink>
    </w:p>
    <w:p w14:paraId="77BCD5C7" w14:textId="77777777" w:rsidR="006E1489" w:rsidRDefault="006E1489" w:rsidP="00E1257D">
      <w:pPr>
        <w:pStyle w:val="ListParagraph"/>
        <w:rPr>
          <w:rStyle w:val="Hyperlink"/>
          <w:color w:val="auto"/>
          <w:u w:val="none"/>
        </w:rPr>
      </w:pPr>
    </w:p>
    <w:p w14:paraId="6B88225C" w14:textId="609B1995" w:rsidR="005B7439" w:rsidRDefault="005B7439" w:rsidP="00E1257D">
      <w:pPr>
        <w:jc w:val="both"/>
        <w:rPr>
          <w:color w:val="000000"/>
          <w:sz w:val="20"/>
          <w:szCs w:val="20"/>
        </w:rPr>
      </w:pPr>
    </w:p>
    <w:p w14:paraId="241589C6" w14:textId="77777777" w:rsidR="005B7439" w:rsidRPr="00725441" w:rsidRDefault="005B7439"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rPr>
      </w:pPr>
      <w:r w:rsidRPr="005B7439">
        <w:rPr>
          <w:b/>
          <w:bCs/>
          <w:color w:val="000000"/>
          <w:sz w:val="20"/>
          <w:szCs w:val="20"/>
        </w:rPr>
        <w:t>1.</w:t>
      </w:r>
      <w:r w:rsidRPr="005B7439">
        <w:rPr>
          <w:b/>
          <w:bCs/>
          <w:color w:val="000000"/>
          <w:sz w:val="20"/>
          <w:szCs w:val="20"/>
        </w:rPr>
        <w:tab/>
      </w:r>
      <w:bookmarkStart w:id="1" w:name="Mark_1"/>
      <w:r w:rsidRPr="00725441">
        <w:rPr>
          <w:b/>
          <w:bCs/>
        </w:rPr>
        <w:t>COVID-19 Population Risk Assessment</w:t>
      </w:r>
      <w:bookmarkEnd w:id="1"/>
    </w:p>
    <w:p w14:paraId="69533077" w14:textId="77777777" w:rsidR="005B7439" w:rsidRPr="00725441" w:rsidRDefault="005B7439"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725441">
        <w:rPr>
          <w:sz w:val="20"/>
          <w:szCs w:val="20"/>
        </w:rPr>
        <w:t>DHSC have issued a letter</w:t>
      </w:r>
      <w:r>
        <w:rPr>
          <w:sz w:val="20"/>
          <w:szCs w:val="20"/>
        </w:rPr>
        <w:t xml:space="preserve"> (Enc.1)</w:t>
      </w:r>
      <w:r w:rsidRPr="00725441">
        <w:rPr>
          <w:sz w:val="20"/>
          <w:szCs w:val="20"/>
        </w:rPr>
        <w:t xml:space="preserve"> </w:t>
      </w:r>
      <w:r>
        <w:rPr>
          <w:sz w:val="20"/>
          <w:szCs w:val="20"/>
        </w:rPr>
        <w:t>yesterday</w:t>
      </w:r>
      <w:r w:rsidRPr="00725441">
        <w:rPr>
          <w:sz w:val="20"/>
          <w:szCs w:val="20"/>
        </w:rPr>
        <w:t xml:space="preserve"> evening relating to a new COVID-19 Population Risk Assessment tool that will be used to identify those at highest risk from COVID-19 and if they are not already on the Shielding List they will be automatically added, and therefore eligible for vaccination.  The tool has been developed by the </w:t>
      </w:r>
      <w:proofErr w:type="spellStart"/>
      <w:r w:rsidRPr="00725441">
        <w:rPr>
          <w:sz w:val="20"/>
          <w:szCs w:val="20"/>
        </w:rPr>
        <w:t>QRisk</w:t>
      </w:r>
      <w:proofErr w:type="spellEnd"/>
      <w:r w:rsidRPr="00725441">
        <w:rPr>
          <w:sz w:val="20"/>
          <w:szCs w:val="20"/>
        </w:rPr>
        <w:t xml:space="preserve"> team led by Prof Julia </w:t>
      </w:r>
      <w:proofErr w:type="spellStart"/>
      <w:r w:rsidRPr="00725441">
        <w:rPr>
          <w:sz w:val="20"/>
          <w:szCs w:val="20"/>
        </w:rPr>
        <w:t>Hippisley</w:t>
      </w:r>
      <w:proofErr w:type="spellEnd"/>
      <w:r w:rsidRPr="00725441">
        <w:rPr>
          <w:sz w:val="20"/>
          <w:szCs w:val="20"/>
        </w:rPr>
        <w:t>-Cox at Oxford.</w:t>
      </w:r>
    </w:p>
    <w:p w14:paraId="377746A2" w14:textId="77777777" w:rsidR="005B7439" w:rsidRPr="00725441" w:rsidRDefault="005B7439"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rPr>
      </w:pPr>
      <w:r w:rsidRPr="00725441">
        <w:rPr>
          <w:sz w:val="20"/>
          <w:szCs w:val="20"/>
        </w:rPr>
        <w:t xml:space="preserve">Patients will be notified </w:t>
      </w:r>
      <w:proofErr w:type="gramStart"/>
      <w:r w:rsidRPr="00725441">
        <w:rPr>
          <w:sz w:val="20"/>
          <w:szCs w:val="20"/>
        </w:rPr>
        <w:t>directly</w:t>
      </w:r>
      <w:proofErr w:type="gramEnd"/>
      <w:r w:rsidRPr="00725441">
        <w:rPr>
          <w:sz w:val="20"/>
          <w:szCs w:val="20"/>
        </w:rPr>
        <w:t xml:space="preserve"> and practices do not need to do this. Those individuals aged 19-69 added to the SPL should be recognised as having an equivalent risk to those previously identified as CEV. In practical terms, this means that those under 65 should be prioritised ahead of others in cohort 6 once the new </w:t>
      </w:r>
      <w:proofErr w:type="gramStart"/>
      <w:r w:rsidRPr="00725441">
        <w:rPr>
          <w:sz w:val="20"/>
          <w:szCs w:val="20"/>
        </w:rPr>
        <w:t>high risk</w:t>
      </w:r>
      <w:proofErr w:type="gramEnd"/>
      <w:r w:rsidRPr="00725441">
        <w:rPr>
          <w:sz w:val="20"/>
          <w:szCs w:val="20"/>
        </w:rPr>
        <w:t xml:space="preserve"> flags are visible on practice systems.</w:t>
      </w:r>
    </w:p>
    <w:p w14:paraId="39315434" w14:textId="1D9519FB" w:rsidR="005B7439" w:rsidRDefault="005B7439" w:rsidP="00E1257D">
      <w:pPr>
        <w:jc w:val="both"/>
        <w:rPr>
          <w:color w:val="000000"/>
          <w:sz w:val="20"/>
          <w:szCs w:val="20"/>
        </w:rPr>
      </w:pPr>
    </w:p>
    <w:p w14:paraId="7C126C79" w14:textId="77777777" w:rsidR="002006C6" w:rsidRDefault="002006C6" w:rsidP="00E1257D">
      <w:pPr>
        <w:jc w:val="both"/>
        <w:rPr>
          <w:color w:val="000000"/>
          <w:sz w:val="20"/>
          <w:szCs w:val="20"/>
        </w:rPr>
      </w:pPr>
    </w:p>
    <w:p w14:paraId="406753B4" w14:textId="13A79663" w:rsidR="003F5C6D" w:rsidRPr="00A274B5" w:rsidRDefault="005B7439"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lang w:eastAsia="en-GB"/>
        </w:rPr>
      </w:pPr>
      <w:r>
        <w:rPr>
          <w:b/>
          <w:bCs/>
        </w:rPr>
        <w:t>2</w:t>
      </w:r>
      <w:r w:rsidR="003F5C6D">
        <w:rPr>
          <w:b/>
          <w:bCs/>
        </w:rPr>
        <w:t>.</w:t>
      </w:r>
      <w:r w:rsidR="003F5C6D">
        <w:rPr>
          <w:b/>
          <w:bCs/>
        </w:rPr>
        <w:tab/>
      </w:r>
      <w:bookmarkStart w:id="2" w:name="Mark_2"/>
      <w:r w:rsidR="003F5C6D" w:rsidRPr="00A274B5">
        <w:rPr>
          <w:b/>
          <w:bCs/>
        </w:rPr>
        <w:t>Transport of Astra Zeneca vaccine to GP practices within the PCN Grouping  </w:t>
      </w:r>
      <w:bookmarkEnd w:id="2"/>
    </w:p>
    <w:p w14:paraId="5702F8E1" w14:textId="77777777" w:rsidR="003F5C6D" w:rsidRPr="00A274B5" w:rsidRDefault="003F5C6D"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lang w:eastAsia="en-GB"/>
        </w:rPr>
      </w:pPr>
      <w:r w:rsidRPr="00A274B5">
        <w:rPr>
          <w:sz w:val="20"/>
          <w:szCs w:val="20"/>
        </w:rPr>
        <w:t xml:space="preserve">The NHSE/I has confirmed that the </w:t>
      </w:r>
      <w:hyperlink r:id="rId11" w:history="1">
        <w:r w:rsidRPr="00A274B5">
          <w:rPr>
            <w:rStyle w:val="Hyperlink"/>
            <w:color w:val="auto"/>
            <w:sz w:val="20"/>
            <w:szCs w:val="20"/>
          </w:rPr>
          <w:t>SPS SOP</w:t>
        </w:r>
      </w:hyperlink>
      <w:r w:rsidRPr="00A274B5">
        <w:rPr>
          <w:sz w:val="20"/>
          <w:szCs w:val="20"/>
        </w:rPr>
        <w:t xml:space="preserve"> (Standard Operating Procedure) has been updated to make clear that the Astra Zeneca COVID-19 vaccine does not need to be used immediately after being transported within the PCN grouping. The SOP states: </w:t>
      </w:r>
    </w:p>
    <w:p w14:paraId="2812BD6F" w14:textId="77777777" w:rsidR="003F5C6D" w:rsidRPr="00A274B5" w:rsidRDefault="003F5C6D"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sz w:val="20"/>
          <w:szCs w:val="20"/>
          <w:lang w:eastAsia="en-GB"/>
        </w:rPr>
      </w:pPr>
      <w:r w:rsidRPr="00A274B5">
        <w:rPr>
          <w:sz w:val="20"/>
          <w:szCs w:val="20"/>
        </w:rPr>
        <w:t>1.1.2.       The vaccine should be used as soon as it is received or immediately put in a refrigerator to be administered as soon as possible thereafter.</w:t>
      </w:r>
      <w:r w:rsidRPr="00A274B5">
        <w:rPr>
          <w:i/>
          <w:iCs/>
          <w:sz w:val="20"/>
          <w:szCs w:val="20"/>
        </w:rPr>
        <w:t xml:space="preserve"> This has been defined as meaning within 24 hours or over the following days.</w:t>
      </w:r>
      <w:r w:rsidRPr="00A274B5">
        <w:rPr>
          <w:sz w:val="20"/>
          <w:szCs w:val="20"/>
        </w:rPr>
        <w:t> </w:t>
      </w:r>
    </w:p>
    <w:p w14:paraId="693C92D3" w14:textId="69D86A4C" w:rsidR="003F5C6D" w:rsidRDefault="003F5C6D" w:rsidP="003F5C6D">
      <w:pPr>
        <w:jc w:val="both"/>
        <w:rPr>
          <w:b/>
          <w:bCs/>
          <w:color w:val="000000"/>
          <w:sz w:val="20"/>
          <w:szCs w:val="20"/>
        </w:rPr>
      </w:pPr>
    </w:p>
    <w:p w14:paraId="2E72C7B1" w14:textId="0463A23A" w:rsidR="002006C6" w:rsidRDefault="002006C6" w:rsidP="003F5C6D">
      <w:pPr>
        <w:jc w:val="both"/>
        <w:rPr>
          <w:b/>
          <w:bCs/>
          <w:color w:val="000000"/>
          <w:sz w:val="20"/>
          <w:szCs w:val="20"/>
        </w:rPr>
      </w:pPr>
    </w:p>
    <w:p w14:paraId="7D534523" w14:textId="7E904726" w:rsidR="002006C6" w:rsidRDefault="002006C6" w:rsidP="003F5C6D">
      <w:pPr>
        <w:jc w:val="both"/>
        <w:rPr>
          <w:b/>
          <w:bCs/>
          <w:color w:val="000000"/>
          <w:sz w:val="20"/>
          <w:szCs w:val="20"/>
        </w:rPr>
      </w:pPr>
    </w:p>
    <w:p w14:paraId="00066B54" w14:textId="115025FF" w:rsidR="002006C6" w:rsidRDefault="002006C6" w:rsidP="003F5C6D">
      <w:pPr>
        <w:jc w:val="both"/>
        <w:rPr>
          <w:b/>
          <w:bCs/>
          <w:color w:val="000000"/>
          <w:sz w:val="20"/>
          <w:szCs w:val="20"/>
        </w:rPr>
      </w:pPr>
    </w:p>
    <w:p w14:paraId="7C3DD0DC" w14:textId="77777777" w:rsidR="002006C6" w:rsidRDefault="002006C6" w:rsidP="003F5C6D">
      <w:pPr>
        <w:jc w:val="both"/>
        <w:rPr>
          <w:b/>
          <w:bCs/>
          <w:color w:val="000000"/>
          <w:sz w:val="20"/>
          <w:szCs w:val="20"/>
        </w:rPr>
      </w:pPr>
    </w:p>
    <w:p w14:paraId="5C4D17FA" w14:textId="77777777" w:rsidR="003F5C6D" w:rsidRDefault="003F5C6D" w:rsidP="003F5C6D">
      <w:pPr>
        <w:jc w:val="both"/>
        <w:rPr>
          <w:b/>
          <w:bCs/>
          <w:color w:val="000000"/>
          <w:sz w:val="20"/>
          <w:szCs w:val="20"/>
        </w:rPr>
      </w:pPr>
    </w:p>
    <w:p w14:paraId="56A2C335" w14:textId="1D8AC2EE" w:rsidR="003F5C6D" w:rsidRPr="00A274B5" w:rsidRDefault="005B7439"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color w:val="000000"/>
          <w:sz w:val="20"/>
          <w:szCs w:val="20"/>
        </w:rPr>
        <w:t>3</w:t>
      </w:r>
      <w:r w:rsidR="00DE71A6" w:rsidRPr="00E9309C">
        <w:rPr>
          <w:b/>
          <w:bCs/>
          <w:color w:val="000000"/>
          <w:sz w:val="20"/>
          <w:szCs w:val="20"/>
        </w:rPr>
        <w:t>.</w:t>
      </w:r>
      <w:r w:rsidR="00DE71A6">
        <w:rPr>
          <w:color w:val="000000"/>
          <w:sz w:val="20"/>
          <w:szCs w:val="20"/>
        </w:rPr>
        <w:tab/>
      </w:r>
      <w:bookmarkStart w:id="3" w:name="Mark_3"/>
      <w:r w:rsidR="003F5C6D" w:rsidRPr="00A274B5">
        <w:rPr>
          <w:b/>
          <w:bCs/>
        </w:rPr>
        <w:t xml:space="preserve">COVID Vaccination invites </w:t>
      </w:r>
      <w:r w:rsidR="003F5C6D">
        <w:rPr>
          <w:b/>
          <w:bCs/>
        </w:rPr>
        <w:t xml:space="preserve">JCVI </w:t>
      </w:r>
      <w:r w:rsidR="003F5C6D" w:rsidRPr="00A274B5">
        <w:rPr>
          <w:b/>
          <w:bCs/>
        </w:rPr>
        <w:t>cohorts 5 and 6</w:t>
      </w:r>
      <w:bookmarkEnd w:id="3"/>
    </w:p>
    <w:p w14:paraId="3D27BE7E" w14:textId="77777777" w:rsidR="003F5C6D" w:rsidRPr="00A274B5" w:rsidRDefault="003F5C6D"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lang w:eastAsia="en-GB"/>
        </w:rPr>
      </w:pPr>
      <w:r>
        <w:rPr>
          <w:color w:val="000000"/>
          <w:sz w:val="20"/>
          <w:szCs w:val="20"/>
        </w:rPr>
        <w:t>Last week</w:t>
      </w:r>
      <w:r w:rsidRPr="00A274B5">
        <w:rPr>
          <w:color w:val="000000"/>
          <w:sz w:val="20"/>
          <w:szCs w:val="20"/>
        </w:rPr>
        <w:t xml:space="preserve">, </w:t>
      </w:r>
      <w:hyperlink r:id="rId12" w:history="1">
        <w:r w:rsidRPr="00A274B5">
          <w:rPr>
            <w:rStyle w:val="Hyperlink"/>
            <w:sz w:val="20"/>
            <w:szCs w:val="20"/>
          </w:rPr>
          <w:t>eligible patients (70 or over) who have not yet heard  from their practice or received a letter and have not yet taken up a vaccine offer</w:t>
        </w:r>
      </w:hyperlink>
      <w:r w:rsidRPr="00A274B5">
        <w:rPr>
          <w:color w:val="000000"/>
          <w:sz w:val="20"/>
          <w:szCs w:val="20"/>
        </w:rPr>
        <w:t xml:space="preserve">, were invited to contact the </w:t>
      </w:r>
      <w:hyperlink r:id="rId13" w:history="1">
        <w:r w:rsidRPr="00A274B5">
          <w:rPr>
            <w:rStyle w:val="Hyperlink"/>
            <w:sz w:val="20"/>
            <w:szCs w:val="20"/>
          </w:rPr>
          <w:t>online booking service</w:t>
        </w:r>
      </w:hyperlink>
      <w:r w:rsidRPr="00A274B5">
        <w:rPr>
          <w:color w:val="000000"/>
          <w:sz w:val="20"/>
          <w:szCs w:val="20"/>
        </w:rPr>
        <w:t>, call 119 or contact their GP practice directly. This aims to catch patients who may have been missed by or not responded to previous communications.</w:t>
      </w:r>
      <w:r w:rsidRPr="00A274B5">
        <w:rPr>
          <w:color w:val="000000"/>
          <w:sz w:val="20"/>
          <w:szCs w:val="20"/>
        </w:rPr>
        <w:br/>
      </w:r>
      <w:r w:rsidRPr="00A274B5">
        <w:rPr>
          <w:color w:val="000000"/>
          <w:sz w:val="20"/>
          <w:szCs w:val="20"/>
        </w:rPr>
        <w:br/>
        <w:t>While the focus continues to be to vaccinate JCVI groups 1-</w:t>
      </w:r>
      <w:proofErr w:type="gramStart"/>
      <w:r w:rsidRPr="00A274B5">
        <w:rPr>
          <w:color w:val="000000"/>
          <w:sz w:val="20"/>
          <w:szCs w:val="20"/>
        </w:rPr>
        <w:t>4  if</w:t>
      </w:r>
      <w:proofErr w:type="gramEnd"/>
      <w:r w:rsidRPr="00A274B5">
        <w:rPr>
          <w:color w:val="000000"/>
          <w:sz w:val="20"/>
          <w:szCs w:val="20"/>
        </w:rPr>
        <w:t xml:space="preserve"> this is complete vaccination sites are permitted to offer appointments to people in cohort 5 and 6 instead of risking wastage. </w:t>
      </w:r>
    </w:p>
    <w:p w14:paraId="3A26490D" w14:textId="745844C9" w:rsidR="00E9309C" w:rsidRDefault="003F5C6D"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A274B5">
        <w:rPr>
          <w:color w:val="000000"/>
          <w:sz w:val="20"/>
          <w:szCs w:val="20"/>
        </w:rPr>
        <w:t>Practices have also been asked to contact their clinically extremely vulnerable patients, who are shielding, to ensure they have been offered the vaccine. </w:t>
      </w:r>
    </w:p>
    <w:p w14:paraId="38FEEF17" w14:textId="77777777" w:rsidR="005B7439" w:rsidRPr="00725441" w:rsidRDefault="005B7439"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25441">
        <w:rPr>
          <w:color w:val="000000"/>
          <w:sz w:val="20"/>
          <w:szCs w:val="20"/>
        </w:rPr>
        <w:t xml:space="preserve">You should by now have received a letter from NHSEI (Enc.2) which outlines the next stage of the vaccination programme. It also contains information about an additional payment of £10 on top of the </w:t>
      </w:r>
      <w:proofErr w:type="spellStart"/>
      <w:r w:rsidRPr="00725441">
        <w:rPr>
          <w:color w:val="000000"/>
          <w:sz w:val="20"/>
          <w:szCs w:val="20"/>
        </w:rPr>
        <w:t>IoS</w:t>
      </w:r>
      <w:proofErr w:type="spellEnd"/>
      <w:r w:rsidRPr="00725441">
        <w:rPr>
          <w:color w:val="000000"/>
          <w:sz w:val="20"/>
          <w:szCs w:val="20"/>
        </w:rPr>
        <w:t xml:space="preserve"> fee for vaccinations given to all those in residential settings, such as care homes for people with learning disabilities or mental health problems, or hostel/hotel accommodation for the homeless, where it would not be possible for these patients to attend vaccination sites.</w:t>
      </w:r>
    </w:p>
    <w:p w14:paraId="27270EF0" w14:textId="77777777" w:rsidR="005B7439" w:rsidRPr="00725441" w:rsidRDefault="005B7439"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25441">
        <w:rPr>
          <w:color w:val="000000"/>
          <w:sz w:val="20"/>
          <w:szCs w:val="20"/>
        </w:rPr>
        <w:t>Whilst they are encouraging PCN-led sites to focus on cohort 6, and cohort 5 (those aged 65-69) will shortly start receiving an invitation from the national booking service (NBS) to attend a vaccination centre or community pharmacy setting, PCN sites may still vaccinate patients in this cohort and be paid for doing so should a patient request an appointment.</w:t>
      </w:r>
    </w:p>
    <w:p w14:paraId="417B47B8" w14:textId="088FC69D" w:rsidR="0068663F" w:rsidRPr="006B5F30" w:rsidRDefault="005B7439" w:rsidP="006B5F3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rPr>
      </w:pPr>
      <w:r w:rsidRPr="00725441">
        <w:rPr>
          <w:color w:val="000000"/>
          <w:sz w:val="20"/>
          <w:szCs w:val="20"/>
        </w:rPr>
        <w:t>An NHS paper (Enc.3) outlining details of the vaccine allocations is also available for information</w:t>
      </w:r>
      <w:r>
        <w:rPr>
          <w:color w:val="000000"/>
          <w:sz w:val="20"/>
          <w:szCs w:val="20"/>
        </w:rPr>
        <w:t>.</w:t>
      </w:r>
    </w:p>
    <w:p w14:paraId="708B772E" w14:textId="77777777" w:rsidR="0068663F" w:rsidRDefault="0068663F" w:rsidP="0068663F">
      <w:pPr>
        <w:jc w:val="center"/>
        <w:rPr>
          <w:color w:val="000000"/>
          <w:sz w:val="20"/>
          <w:szCs w:val="20"/>
        </w:rPr>
      </w:pPr>
    </w:p>
    <w:p w14:paraId="7CDB57EC" w14:textId="0EAAF699" w:rsidR="003F5C6D" w:rsidRPr="00A274B5" w:rsidRDefault="005B7439"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lang w:eastAsia="en-GB"/>
        </w:rPr>
      </w:pPr>
      <w:r>
        <w:rPr>
          <w:b/>
          <w:bCs/>
          <w:color w:val="000000"/>
          <w:sz w:val="20"/>
          <w:szCs w:val="20"/>
        </w:rPr>
        <w:t>4</w:t>
      </w:r>
      <w:r w:rsidR="0068663F" w:rsidRPr="00B9088A">
        <w:rPr>
          <w:b/>
          <w:bCs/>
          <w:color w:val="000000"/>
          <w:sz w:val="20"/>
          <w:szCs w:val="20"/>
        </w:rPr>
        <w:t>.</w:t>
      </w:r>
      <w:r w:rsidR="0068663F" w:rsidRPr="00B9088A">
        <w:rPr>
          <w:b/>
          <w:bCs/>
          <w:color w:val="000000"/>
          <w:sz w:val="20"/>
          <w:szCs w:val="20"/>
        </w:rPr>
        <w:tab/>
      </w:r>
      <w:bookmarkStart w:id="4" w:name="Mark_4"/>
      <w:r w:rsidR="003F5C6D" w:rsidRPr="00A274B5">
        <w:rPr>
          <w:b/>
          <w:bCs/>
          <w:color w:val="000000"/>
        </w:rPr>
        <w:t>Vaccination of frontline health and social care workers </w:t>
      </w:r>
      <w:bookmarkEnd w:id="4"/>
    </w:p>
    <w:p w14:paraId="05C8E8D5" w14:textId="77777777" w:rsidR="003F5C6D" w:rsidRPr="00A274B5" w:rsidRDefault="003F5C6D"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lang w:eastAsia="en-GB"/>
        </w:rPr>
      </w:pPr>
      <w:r w:rsidRPr="00A274B5">
        <w:rPr>
          <w:color w:val="000000"/>
          <w:sz w:val="20"/>
          <w:szCs w:val="20"/>
        </w:rPr>
        <w:t xml:space="preserve">Protecting frontline health and social care workers from COVID-19 remains a priority, something that the BMA has been lobbying on, and NHSE/I has </w:t>
      </w:r>
      <w:hyperlink r:id="rId14" w:history="1">
        <w:r w:rsidRPr="00A274B5">
          <w:rPr>
            <w:rStyle w:val="Hyperlink"/>
            <w:sz w:val="20"/>
            <w:szCs w:val="20"/>
          </w:rPr>
          <w:t>written to commissioners</w:t>
        </w:r>
      </w:hyperlink>
      <w:r w:rsidRPr="00A274B5">
        <w:rPr>
          <w:color w:val="000000"/>
          <w:sz w:val="20"/>
          <w:szCs w:val="20"/>
        </w:rPr>
        <w:t xml:space="preserve"> this week asking for reassurance that the offer of a vaccination frontline health and social care workers, as priority cohorts, has been fulfilled.  </w:t>
      </w:r>
    </w:p>
    <w:p w14:paraId="0798DCAB" w14:textId="77777777" w:rsidR="003F5C6D" w:rsidRDefault="003F5C6D"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lang w:eastAsia="en-GB"/>
        </w:rPr>
      </w:pPr>
      <w:r w:rsidRPr="00A274B5">
        <w:rPr>
          <w:color w:val="000000"/>
          <w:sz w:val="20"/>
          <w:szCs w:val="20"/>
        </w:rPr>
        <w:t xml:space="preserve">Practices are encouraged to liaise with local system partners to ensure that any staff who have not yet been offered a vaccine are offered one, including any </w:t>
      </w:r>
      <w:r w:rsidRPr="00A274B5">
        <w:rPr>
          <w:color w:val="000000"/>
          <w:sz w:val="20"/>
          <w:szCs w:val="20"/>
          <w:lang w:eastAsia="en-GB"/>
        </w:rPr>
        <w:t>locum GPs they are in regular contact with, as soon as practically possible</w:t>
      </w:r>
      <w:r w:rsidRPr="00A274B5">
        <w:rPr>
          <w:color w:val="000000"/>
          <w:sz w:val="20"/>
          <w:szCs w:val="20"/>
          <w:lang w:val="en-US" w:eastAsia="en-GB"/>
        </w:rPr>
        <w:t>.  </w:t>
      </w:r>
    </w:p>
    <w:p w14:paraId="4F7F40A7" w14:textId="7A5E7B8C" w:rsidR="0068663F" w:rsidRPr="002006C6" w:rsidRDefault="00C205E1"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lang w:eastAsia="en-GB"/>
        </w:rPr>
      </w:pPr>
      <w:hyperlink r:id="rId15" w:history="1">
        <w:r w:rsidR="003F5C6D" w:rsidRPr="00A274B5">
          <w:rPr>
            <w:rStyle w:val="Hyperlink"/>
            <w:sz w:val="20"/>
            <w:szCs w:val="20"/>
            <w:lang w:eastAsia="en-GB"/>
          </w:rPr>
          <w:t>Social care workers</w:t>
        </w:r>
      </w:hyperlink>
      <w:r w:rsidR="003F5C6D" w:rsidRPr="00A274B5">
        <w:rPr>
          <w:color w:val="000000"/>
          <w:sz w:val="20"/>
          <w:szCs w:val="20"/>
          <w:lang w:eastAsia="en-GB"/>
        </w:rPr>
        <w:t xml:space="preserve"> are now able to, for a limited period until 28 February, to self-book a vaccination at a vaccination centre or community pharmacy led local vaccination service</w:t>
      </w:r>
      <w:hyperlink r:id="rId16" w:history="1">
        <w:r w:rsidR="003F5C6D" w:rsidRPr="00A274B5">
          <w:rPr>
            <w:rStyle w:val="Hyperlink"/>
            <w:sz w:val="20"/>
            <w:szCs w:val="20"/>
            <w:lang w:eastAsia="en-GB"/>
          </w:rPr>
          <w:t xml:space="preserve"> online</w:t>
        </w:r>
      </w:hyperlink>
      <w:r w:rsidR="003F5C6D" w:rsidRPr="00A274B5">
        <w:rPr>
          <w:color w:val="000000"/>
          <w:sz w:val="20"/>
          <w:szCs w:val="20"/>
          <w:lang w:eastAsia="en-GB"/>
        </w:rPr>
        <w:t> </w:t>
      </w:r>
    </w:p>
    <w:p w14:paraId="316EE959" w14:textId="77777777" w:rsidR="006E1489" w:rsidRDefault="006E1489" w:rsidP="0068663F">
      <w:pPr>
        <w:rPr>
          <w:b/>
          <w:bCs/>
        </w:rPr>
      </w:pPr>
    </w:p>
    <w:p w14:paraId="517D5E63" w14:textId="08FE9A42" w:rsidR="00F16200" w:rsidRPr="00A274B5" w:rsidRDefault="005B7439"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000000"/>
          <w:lang w:eastAsia="en-GB"/>
        </w:rPr>
      </w:pPr>
      <w:r>
        <w:rPr>
          <w:b/>
          <w:bCs/>
        </w:rPr>
        <w:t>5</w:t>
      </w:r>
      <w:r w:rsidR="0068663F">
        <w:rPr>
          <w:b/>
          <w:bCs/>
        </w:rPr>
        <w:t>.</w:t>
      </w:r>
      <w:r w:rsidR="0068663F">
        <w:rPr>
          <w:b/>
          <w:bCs/>
        </w:rPr>
        <w:tab/>
      </w:r>
      <w:bookmarkStart w:id="5" w:name="Mark_5"/>
      <w:r w:rsidR="00F16200" w:rsidRPr="00A274B5">
        <w:rPr>
          <w:b/>
          <w:bCs/>
          <w:color w:val="000000"/>
          <w:lang w:eastAsia="en-GB"/>
        </w:rPr>
        <w:t>Freeing up practices to support COVID-19 vaccination  </w:t>
      </w:r>
      <w:bookmarkEnd w:id="5"/>
    </w:p>
    <w:p w14:paraId="71575B4A" w14:textId="18F23DDA" w:rsidR="0068663F" w:rsidRDefault="00F16200" w:rsidP="002006C6">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color w:val="000000"/>
          <w:sz w:val="20"/>
          <w:szCs w:val="20"/>
          <w:lang w:eastAsia="en-GB"/>
        </w:rPr>
      </w:pPr>
      <w:r w:rsidRPr="00A274B5">
        <w:rPr>
          <w:color w:val="000000"/>
          <w:sz w:val="20"/>
          <w:szCs w:val="20"/>
          <w:lang w:eastAsia="en-GB"/>
        </w:rPr>
        <w:t xml:space="preserve">NHSE/I has written to practices and commissioners providing further measures </w:t>
      </w:r>
      <w:hyperlink r:id="rId17" w:history="1">
        <w:r w:rsidRPr="00A274B5">
          <w:rPr>
            <w:rStyle w:val="Hyperlink"/>
            <w:sz w:val="20"/>
            <w:szCs w:val="20"/>
            <w:lang w:eastAsia="en-GB"/>
          </w:rPr>
          <w:t>on freeing up practices to support COVID-19 vaccination</w:t>
        </w:r>
      </w:hyperlink>
      <w:r w:rsidRPr="00A274B5">
        <w:rPr>
          <w:color w:val="000000"/>
          <w:sz w:val="20"/>
          <w:szCs w:val="20"/>
          <w:lang w:eastAsia="en-GB"/>
        </w:rPr>
        <w:t xml:space="preserve">s, following their </w:t>
      </w:r>
      <w:hyperlink r:id="rId18" w:history="1">
        <w:r w:rsidRPr="00A274B5">
          <w:rPr>
            <w:rStyle w:val="Hyperlink"/>
            <w:sz w:val="20"/>
            <w:szCs w:val="20"/>
            <w:lang w:eastAsia="en-GB"/>
          </w:rPr>
          <w:t>letter of 7 January 2021</w:t>
        </w:r>
      </w:hyperlink>
      <w:r w:rsidRPr="00A274B5">
        <w:rPr>
          <w:color w:val="000000"/>
          <w:sz w:val="20"/>
          <w:szCs w:val="20"/>
          <w:lang w:eastAsia="en-GB"/>
        </w:rPr>
        <w:t>. The letter sets out the arrangements for additional funding for PCN clinical directors, and income protection arrangements for the Minor Surgery DES and QOF (Quality and Outcomes Framework). </w:t>
      </w:r>
    </w:p>
    <w:p w14:paraId="604A363B" w14:textId="1A0F6D52" w:rsidR="0068663F" w:rsidRDefault="0068663F" w:rsidP="006F1FAB">
      <w:pPr>
        <w:jc w:val="both"/>
        <w:rPr>
          <w:color w:val="000000"/>
          <w:sz w:val="20"/>
          <w:szCs w:val="20"/>
        </w:rPr>
      </w:pPr>
    </w:p>
    <w:p w14:paraId="47947B7C" w14:textId="77777777" w:rsidR="00DC15B2" w:rsidRPr="008D3F6E" w:rsidRDefault="00DC15B2" w:rsidP="00AF1DEC"/>
    <w:p w14:paraId="6035EB27" w14:textId="0ADAA490"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w:t>
      </w:r>
      <w:r w:rsidR="002006C6">
        <w:rPr>
          <w:b/>
          <w:bCs/>
          <w:color w:val="FF0000"/>
        </w:rPr>
        <w:t xml:space="preserve">. Could we also remind </w:t>
      </w:r>
      <w:r w:rsidR="00396A6B">
        <w:rPr>
          <w:b/>
          <w:bCs/>
          <w:color w:val="FF0000"/>
        </w:rPr>
        <w:t>P</w:t>
      </w:r>
      <w:r w:rsidR="002006C6">
        <w:rPr>
          <w:b/>
          <w:bCs/>
          <w:color w:val="FF0000"/>
        </w:rPr>
        <w:t>ractices that any copies of patient related correspondence MUST be anonymised as the LMC can not accept patient identifiable data.</w:t>
      </w:r>
    </w:p>
    <w:p w14:paraId="2ADB5A53" w14:textId="4B7D6575" w:rsidR="002006C6" w:rsidRDefault="002006C6" w:rsidP="00AF1DEC">
      <w:pPr>
        <w:rPr>
          <w:b/>
          <w:bCs/>
          <w:u w:val="single"/>
        </w:rPr>
      </w:pPr>
    </w:p>
    <w:p w14:paraId="6E8D9921" w14:textId="00E7E0AA" w:rsidR="00EB64DB" w:rsidRPr="00F76452" w:rsidRDefault="00AF1DEC" w:rsidP="00F7645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sidRPr="00B42CEB">
        <w:rPr>
          <w:b/>
          <w:bCs/>
        </w:rPr>
        <w:t xml:space="preserve">Please note our office contact times remain 10:00-16:00 and any queries on the day should be directed to </w:t>
      </w:r>
      <w:hyperlink r:id="rId19" w:history="1">
        <w:r w:rsidRPr="00B42CEB">
          <w:rPr>
            <w:rStyle w:val="Hyperlink"/>
            <w:b/>
            <w:bCs/>
            <w:u w:val="none"/>
          </w:rPr>
          <w:t>birmingham.lmc@nhs.net</w:t>
        </w:r>
      </w:hyperlink>
    </w:p>
    <w:p w14:paraId="363E40C0" w14:textId="77777777" w:rsidR="00F76452" w:rsidRDefault="00F76452" w:rsidP="00AF1DEC"/>
    <w:p w14:paraId="1088FA9D" w14:textId="77777777" w:rsidR="00AF1DEC" w:rsidRDefault="00AF1DEC" w:rsidP="00AF1DEC">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u w:val="single"/>
        </w:rPr>
      </w:pPr>
      <w:r w:rsidRPr="00AB0284">
        <w:rPr>
          <w:b/>
          <w:bCs/>
          <w:u w:val="single"/>
        </w:rPr>
        <w:t>Helpful Links:</w:t>
      </w:r>
    </w:p>
    <w:p w14:paraId="720324B6" w14:textId="77777777" w:rsidR="00AF1DEC" w:rsidRPr="00AB0284"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b/>
          <w:bCs/>
          <w:u w:val="single"/>
        </w:rPr>
      </w:pPr>
    </w:p>
    <w:p w14:paraId="7DA4457C"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textAlignment w:val="center"/>
        <w:outlineLvl w:val="0"/>
        <w:rPr>
          <w:rFonts w:eastAsia="Times New Roman" w:cs="Helvetica"/>
          <w:color w:val="111111"/>
          <w:spacing w:val="6"/>
          <w:shd w:val="clear" w:color="auto" w:fill="FFFFFF"/>
          <w:lang w:eastAsia="en-GB"/>
        </w:rPr>
      </w:pPr>
      <w:r w:rsidRPr="00797412">
        <w:rPr>
          <w:rFonts w:eastAsia="Times New Roman" w:cs="Helvetica"/>
          <w:b/>
          <w:bCs/>
          <w:spacing w:val="6"/>
          <w:kern w:val="36"/>
          <w:lang w:eastAsia="en-GB"/>
        </w:rPr>
        <w:t xml:space="preserve">BMA COVID-19: toolkit for GPs and GP practices </w:t>
      </w:r>
      <w:hyperlink r:id="rId20" w:history="1">
        <w:r w:rsidRPr="00797412">
          <w:rPr>
            <w:color w:val="0000FF"/>
            <w:u w:val="single"/>
          </w:rPr>
          <w:t>https://www.bma.org.uk/advice-and-support/covid-19/gp-practices/covid-19-toolkit-for-gps-and-gp-practices</w:t>
        </w:r>
      </w:hyperlink>
      <w:r w:rsidRPr="00797412">
        <w:t xml:space="preserve"> </w:t>
      </w:r>
      <w:r w:rsidRPr="00797412">
        <w:rPr>
          <w:rFonts w:eastAsia="Times New Roman" w:cs="Helvetica"/>
          <w:color w:val="111111"/>
          <w:spacing w:val="6"/>
          <w:shd w:val="clear" w:color="auto" w:fill="FFFFFF"/>
          <w:lang w:eastAsia="en-GB"/>
        </w:rPr>
        <w:t>Comprehensive guidance for GPs, partners, and practice managers to manage employment and contractual issues and service provision during the coronavirus pandemic.</w:t>
      </w:r>
    </w:p>
    <w:p w14:paraId="220AB17E"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hAnsiTheme="minorHAnsi"/>
          <w:b/>
          <w:bCs/>
          <w:color w:val="auto"/>
          <w:sz w:val="22"/>
          <w:szCs w:val="22"/>
        </w:rPr>
      </w:pPr>
    </w:p>
    <w:p w14:paraId="0F47E39A" w14:textId="77777777" w:rsidR="00AF1DEC" w:rsidRPr="00797412" w:rsidRDefault="00AF1DEC" w:rsidP="00531D80">
      <w:pPr>
        <w:pStyle w:val="Heading2"/>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before="0"/>
        <w:textAlignment w:val="baseline"/>
        <w:rPr>
          <w:rFonts w:asciiTheme="minorHAnsi" w:eastAsia="Times New Roman" w:hAnsiTheme="minorHAnsi" w:cs="Arial"/>
          <w:color w:val="0B0C0C"/>
          <w:sz w:val="22"/>
          <w:szCs w:val="22"/>
          <w:lang w:eastAsia="en-GB"/>
        </w:rPr>
      </w:pPr>
      <w:r w:rsidRPr="00797412">
        <w:rPr>
          <w:rFonts w:asciiTheme="minorHAnsi" w:hAnsiTheme="minorHAnsi"/>
          <w:b/>
          <w:bCs/>
          <w:color w:val="auto"/>
          <w:sz w:val="22"/>
          <w:szCs w:val="22"/>
        </w:rPr>
        <w:t>GOVERNMENT WEBSITE:</w:t>
      </w:r>
      <w:r w:rsidRPr="00797412">
        <w:rPr>
          <w:color w:val="auto"/>
          <w:sz w:val="22"/>
          <w:szCs w:val="22"/>
        </w:rPr>
        <w:t xml:space="preserve"> </w:t>
      </w:r>
      <w:hyperlink r:id="rId21" w:history="1">
        <w:r w:rsidRPr="00797412">
          <w:rPr>
            <w:rStyle w:val="Hyperlink"/>
            <w:sz w:val="22"/>
            <w:szCs w:val="22"/>
          </w:rPr>
          <w:t>https://www.gov.uk/coronavirus</w:t>
        </w:r>
      </w:hyperlink>
      <w:r w:rsidRPr="00797412">
        <w:rPr>
          <w:color w:val="0000FF"/>
          <w:sz w:val="22"/>
          <w:szCs w:val="22"/>
        </w:rPr>
        <w:t xml:space="preserve"> </w:t>
      </w:r>
      <w:r w:rsidRPr="00797412">
        <w:rPr>
          <w:rFonts w:asciiTheme="minorHAnsi" w:hAnsiTheme="minorHAnsi"/>
          <w:color w:val="auto"/>
          <w:sz w:val="22"/>
          <w:szCs w:val="22"/>
        </w:rPr>
        <w:t>for r</w:t>
      </w:r>
      <w:r w:rsidRPr="00797412">
        <w:rPr>
          <w:rFonts w:asciiTheme="minorHAnsi" w:eastAsia="Times New Roman" w:hAnsiTheme="minorHAnsi" w:cs="Arial"/>
          <w:color w:val="0B0C0C"/>
          <w:sz w:val="22"/>
          <w:szCs w:val="22"/>
          <w:lang w:eastAsia="en-GB"/>
        </w:rPr>
        <w:t>ecent and upcoming changes</w:t>
      </w:r>
      <w:r>
        <w:rPr>
          <w:rFonts w:asciiTheme="minorHAnsi" w:eastAsia="Times New Roman" w:hAnsiTheme="minorHAnsi" w:cs="Arial"/>
          <w:color w:val="0B0C0C"/>
          <w:sz w:val="22"/>
          <w:szCs w:val="22"/>
          <w:lang w:eastAsia="en-GB"/>
        </w:rPr>
        <w:t xml:space="preserve">, </w:t>
      </w:r>
      <w:r w:rsidRPr="00797412">
        <w:rPr>
          <w:rFonts w:asciiTheme="minorHAnsi" w:eastAsia="Times New Roman" w:hAnsiTheme="minorHAnsi" w:cs="Arial"/>
          <w:color w:val="0B0C0C"/>
          <w:sz w:val="22"/>
          <w:szCs w:val="22"/>
          <w:lang w:eastAsia="en-GB"/>
        </w:rPr>
        <w:t>guidance &amp; support.</w:t>
      </w:r>
    </w:p>
    <w:p w14:paraId="53F34098" w14:textId="77777777" w:rsidR="00AF1DEC" w:rsidRPr="00797412"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lang w:eastAsia="en-GB"/>
        </w:rPr>
      </w:pPr>
    </w:p>
    <w:p w14:paraId="3601E328" w14:textId="77777777" w:rsidR="00AF1DEC" w:rsidRDefault="00AF1DEC" w:rsidP="00531D80">
      <w:pPr>
        <w:pBdr>
          <w:top w:val="thinThickSmallGap" w:sz="24" w:space="0"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rPr>
          <w:rStyle w:val="Hyperlink"/>
        </w:rPr>
      </w:pPr>
      <w:r w:rsidRPr="00797412">
        <w:rPr>
          <w:b/>
          <w:bCs/>
        </w:rPr>
        <w:t>NHS ENGLAND:</w:t>
      </w:r>
      <w:r w:rsidRPr="00797412">
        <w:t xml:space="preserve"> </w:t>
      </w:r>
      <w:hyperlink r:id="rId22" w:history="1">
        <w:r w:rsidRPr="00797412">
          <w:rPr>
            <w:rStyle w:val="Hyperlink"/>
          </w:rPr>
          <w:t>https://www.england.nhs.uk/publication/implementing-phase-3-of-the-nhs-response-to-the-covid-19-pandemic/</w:t>
        </w:r>
      </w:hyperlink>
    </w:p>
    <w:p w14:paraId="25AB9674" w14:textId="77777777" w:rsidR="00FE1174" w:rsidRPr="00FE1174" w:rsidRDefault="00FE1174" w:rsidP="00FE1174"/>
    <w:sectPr w:rsidR="00FE1174" w:rsidRPr="00FE1174" w:rsidSect="00D072EA">
      <w:headerReference w:type="default" r:id="rId23"/>
      <w:footerReference w:type="default" r:id="rId2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3D243" w14:textId="77777777" w:rsidR="00C205E1" w:rsidRDefault="00C205E1" w:rsidP="001B4E81">
      <w:pPr>
        <w:spacing w:after="0" w:line="240" w:lineRule="auto"/>
      </w:pPr>
      <w:r>
        <w:separator/>
      </w:r>
    </w:p>
  </w:endnote>
  <w:endnote w:type="continuationSeparator" w:id="0">
    <w:p w14:paraId="179C7298" w14:textId="77777777" w:rsidR="00C205E1" w:rsidRDefault="00C205E1"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FB593" w14:textId="754BD40A" w:rsidR="00424321" w:rsidRPr="00AF1DEC" w:rsidRDefault="00AF1DEC" w:rsidP="00AF1DEC">
    <w:pPr>
      <w:pStyle w:val="Footer"/>
    </w:pPr>
    <w:r w:rsidRPr="00E76065">
      <w:rPr>
        <w:rFonts w:eastAsiaTheme="minorEastAsia" w:cs="Calibri"/>
        <w:b/>
        <w:bCs/>
        <w:noProof/>
        <w:color w:val="202020"/>
        <w:sz w:val="16"/>
        <w:szCs w:val="16"/>
        <w:lang w:eastAsia="en-GB"/>
      </w:rPr>
      <w:t>As you will already appreciate Guidance is continually changing at a fast pace, therefore Birmingham LMC will be unable to update any links on a regular basis and would respectfully ask that any practice who wish to continue to use this information ensure that these links are updated and validated against the most recent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A9454" w14:textId="77777777" w:rsidR="00C205E1" w:rsidRDefault="00C205E1" w:rsidP="001B4E81">
      <w:pPr>
        <w:spacing w:after="0" w:line="240" w:lineRule="auto"/>
      </w:pPr>
      <w:r>
        <w:separator/>
      </w:r>
    </w:p>
  </w:footnote>
  <w:footnote w:type="continuationSeparator" w:id="0">
    <w:p w14:paraId="3DD93036" w14:textId="77777777" w:rsidR="00C205E1" w:rsidRDefault="00C205E1"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0B6"/>
    <w:multiLevelType w:val="hybridMultilevel"/>
    <w:tmpl w:val="E28EE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91CF3"/>
    <w:multiLevelType w:val="hybridMultilevel"/>
    <w:tmpl w:val="812029F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247EF"/>
    <w:multiLevelType w:val="hybridMultilevel"/>
    <w:tmpl w:val="2AD0B424"/>
    <w:lvl w:ilvl="0" w:tplc="4746AF00">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A2D8D"/>
    <w:multiLevelType w:val="hybridMultilevel"/>
    <w:tmpl w:val="38A68412"/>
    <w:lvl w:ilvl="0" w:tplc="741852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13B7A"/>
    <w:multiLevelType w:val="hybridMultilevel"/>
    <w:tmpl w:val="8D00D01C"/>
    <w:lvl w:ilvl="0" w:tplc="2646B208">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24CB2"/>
    <w:multiLevelType w:val="hybridMultilevel"/>
    <w:tmpl w:val="8EEC685E"/>
    <w:lvl w:ilvl="0" w:tplc="6B32CDD8">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93F1B"/>
    <w:multiLevelType w:val="hybridMultilevel"/>
    <w:tmpl w:val="3482E350"/>
    <w:lvl w:ilvl="0" w:tplc="0242F58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7387C"/>
    <w:multiLevelType w:val="hybridMultilevel"/>
    <w:tmpl w:val="36687C68"/>
    <w:lvl w:ilvl="0" w:tplc="003AFBA2">
      <w:start w:val="1"/>
      <w:numFmt w:val="decimal"/>
      <w:lvlText w:val="%1."/>
      <w:lvlJc w:val="left"/>
      <w:pPr>
        <w:ind w:left="720" w:hanging="360"/>
      </w:pPr>
      <w:rPr>
        <w:rFonts w:eastAsia="Calibri"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A56B7"/>
    <w:multiLevelType w:val="hybridMultilevel"/>
    <w:tmpl w:val="D0387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165568"/>
    <w:multiLevelType w:val="hybridMultilevel"/>
    <w:tmpl w:val="88F6AADE"/>
    <w:lvl w:ilvl="0" w:tplc="B734CF98">
      <w:start w:val="1"/>
      <w:numFmt w:val="decimal"/>
      <w:lvlText w:val="%1."/>
      <w:lvlJc w:val="left"/>
      <w:pPr>
        <w:ind w:left="720" w:hanging="360"/>
      </w:pPr>
      <w:rPr>
        <w:rFonts w:cs="Times New Roman"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2"/>
    <w:multiLevelType w:val="hybridMultilevel"/>
    <w:tmpl w:val="5E0E9606"/>
    <w:lvl w:ilvl="0" w:tplc="F9001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585990"/>
    <w:multiLevelType w:val="hybridMultilevel"/>
    <w:tmpl w:val="D610D2AA"/>
    <w:lvl w:ilvl="0" w:tplc="14CC3788">
      <w:start w:val="1"/>
      <w:numFmt w:val="decimal"/>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522271"/>
    <w:multiLevelType w:val="hybridMultilevel"/>
    <w:tmpl w:val="B9268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1D57F4"/>
    <w:multiLevelType w:val="hybridMultilevel"/>
    <w:tmpl w:val="BC521E22"/>
    <w:lvl w:ilvl="0" w:tplc="CD78274A">
      <w:start w:val="1"/>
      <w:numFmt w:val="decimal"/>
      <w:lvlText w:val="%1."/>
      <w:lvlJc w:val="left"/>
      <w:pPr>
        <w:ind w:left="720" w:hanging="360"/>
      </w:pPr>
      <w:rPr>
        <w:rFonts w:cstheme="minorHAnsi" w:hint="default"/>
        <w:b/>
        <w:color w:val="20202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D2352"/>
    <w:multiLevelType w:val="hybridMultilevel"/>
    <w:tmpl w:val="821E4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7F21FC"/>
    <w:multiLevelType w:val="hybridMultilevel"/>
    <w:tmpl w:val="FB626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1"/>
  </w:num>
  <w:num w:numId="4">
    <w:abstractNumId w:val="9"/>
  </w:num>
  <w:num w:numId="5">
    <w:abstractNumId w:val="19"/>
  </w:num>
  <w:num w:numId="6">
    <w:abstractNumId w:val="1"/>
  </w:num>
  <w:num w:numId="7">
    <w:abstractNumId w:val="15"/>
  </w:num>
  <w:num w:numId="8">
    <w:abstractNumId w:val="20"/>
  </w:num>
  <w:num w:numId="9">
    <w:abstractNumId w:val="11"/>
  </w:num>
  <w:num w:numId="10">
    <w:abstractNumId w:val="24"/>
  </w:num>
  <w:num w:numId="11">
    <w:abstractNumId w:val="18"/>
  </w:num>
  <w:num w:numId="12">
    <w:abstractNumId w:val="22"/>
  </w:num>
  <w:num w:numId="13">
    <w:abstractNumId w:val="23"/>
  </w:num>
  <w:num w:numId="14">
    <w:abstractNumId w:val="13"/>
  </w:num>
  <w:num w:numId="15">
    <w:abstractNumId w:val="0"/>
  </w:num>
  <w:num w:numId="16">
    <w:abstractNumId w:val="2"/>
  </w:num>
  <w:num w:numId="17">
    <w:abstractNumId w:val="12"/>
  </w:num>
  <w:num w:numId="18">
    <w:abstractNumId w:val="3"/>
  </w:num>
  <w:num w:numId="19">
    <w:abstractNumId w:val="14"/>
  </w:num>
  <w:num w:numId="20">
    <w:abstractNumId w:val="4"/>
  </w:num>
  <w:num w:numId="21">
    <w:abstractNumId w:val="7"/>
  </w:num>
  <w:num w:numId="22">
    <w:abstractNumId w:val="8"/>
  </w:num>
  <w:num w:numId="23">
    <w:abstractNumId w:val="5"/>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B51"/>
    <w:rsid w:val="0000297C"/>
    <w:rsid w:val="00010C70"/>
    <w:rsid w:val="00020607"/>
    <w:rsid w:val="000525F3"/>
    <w:rsid w:val="00090C38"/>
    <w:rsid w:val="000B48EB"/>
    <w:rsid w:val="000C2FD6"/>
    <w:rsid w:val="000F0353"/>
    <w:rsid w:val="000F7B3E"/>
    <w:rsid w:val="00116EFA"/>
    <w:rsid w:val="0012701E"/>
    <w:rsid w:val="0014236A"/>
    <w:rsid w:val="00177EAB"/>
    <w:rsid w:val="00181CE4"/>
    <w:rsid w:val="00185027"/>
    <w:rsid w:val="001B002E"/>
    <w:rsid w:val="001B4E81"/>
    <w:rsid w:val="001E09D1"/>
    <w:rsid w:val="001F50DA"/>
    <w:rsid w:val="002006C6"/>
    <w:rsid w:val="00222F72"/>
    <w:rsid w:val="00236B39"/>
    <w:rsid w:val="002507C3"/>
    <w:rsid w:val="00257079"/>
    <w:rsid w:val="00267854"/>
    <w:rsid w:val="0027009C"/>
    <w:rsid w:val="0028528B"/>
    <w:rsid w:val="00295018"/>
    <w:rsid w:val="002B0CD6"/>
    <w:rsid w:val="0030252B"/>
    <w:rsid w:val="00322467"/>
    <w:rsid w:val="00326A35"/>
    <w:rsid w:val="00327E09"/>
    <w:rsid w:val="00327F6D"/>
    <w:rsid w:val="003307E4"/>
    <w:rsid w:val="00334058"/>
    <w:rsid w:val="003731E2"/>
    <w:rsid w:val="00380ADE"/>
    <w:rsid w:val="00393829"/>
    <w:rsid w:val="00394044"/>
    <w:rsid w:val="00396A6B"/>
    <w:rsid w:val="003A2046"/>
    <w:rsid w:val="003A77C8"/>
    <w:rsid w:val="003F5C6D"/>
    <w:rsid w:val="0042361F"/>
    <w:rsid w:val="00424321"/>
    <w:rsid w:val="004473AE"/>
    <w:rsid w:val="004525D2"/>
    <w:rsid w:val="00471CFB"/>
    <w:rsid w:val="004B5D50"/>
    <w:rsid w:val="004F02FF"/>
    <w:rsid w:val="004F7CC6"/>
    <w:rsid w:val="00531D80"/>
    <w:rsid w:val="00552E3F"/>
    <w:rsid w:val="0056264F"/>
    <w:rsid w:val="00584AE9"/>
    <w:rsid w:val="00594272"/>
    <w:rsid w:val="005B491C"/>
    <w:rsid w:val="005B7439"/>
    <w:rsid w:val="005F5155"/>
    <w:rsid w:val="00615375"/>
    <w:rsid w:val="00654AA4"/>
    <w:rsid w:val="0068663F"/>
    <w:rsid w:val="00695059"/>
    <w:rsid w:val="006B5F30"/>
    <w:rsid w:val="006D030D"/>
    <w:rsid w:val="006D0B43"/>
    <w:rsid w:val="006D4E3F"/>
    <w:rsid w:val="006D742B"/>
    <w:rsid w:val="006E1489"/>
    <w:rsid w:val="006F1FAB"/>
    <w:rsid w:val="0076655F"/>
    <w:rsid w:val="0078159D"/>
    <w:rsid w:val="00784D69"/>
    <w:rsid w:val="007E4D99"/>
    <w:rsid w:val="007F2282"/>
    <w:rsid w:val="007F5F4E"/>
    <w:rsid w:val="007F7396"/>
    <w:rsid w:val="00816E1F"/>
    <w:rsid w:val="00825276"/>
    <w:rsid w:val="0083104F"/>
    <w:rsid w:val="008508A4"/>
    <w:rsid w:val="00875A27"/>
    <w:rsid w:val="008855B8"/>
    <w:rsid w:val="008B0FA0"/>
    <w:rsid w:val="008B3DCF"/>
    <w:rsid w:val="008B5226"/>
    <w:rsid w:val="008C56EA"/>
    <w:rsid w:val="008D0A2E"/>
    <w:rsid w:val="008E369B"/>
    <w:rsid w:val="00906C87"/>
    <w:rsid w:val="00933287"/>
    <w:rsid w:val="0097290E"/>
    <w:rsid w:val="0098382C"/>
    <w:rsid w:val="0098389F"/>
    <w:rsid w:val="009A094B"/>
    <w:rsid w:val="009C67A9"/>
    <w:rsid w:val="009C6938"/>
    <w:rsid w:val="009D2E7D"/>
    <w:rsid w:val="009E4658"/>
    <w:rsid w:val="00A014D7"/>
    <w:rsid w:val="00A15186"/>
    <w:rsid w:val="00A40FF9"/>
    <w:rsid w:val="00A552F2"/>
    <w:rsid w:val="00A7150C"/>
    <w:rsid w:val="00A931FF"/>
    <w:rsid w:val="00AD0E2F"/>
    <w:rsid w:val="00AF1DEC"/>
    <w:rsid w:val="00B561F1"/>
    <w:rsid w:val="00B9088A"/>
    <w:rsid w:val="00BA4459"/>
    <w:rsid w:val="00BC4341"/>
    <w:rsid w:val="00C205E1"/>
    <w:rsid w:val="00C3130E"/>
    <w:rsid w:val="00C41F18"/>
    <w:rsid w:val="00C638FA"/>
    <w:rsid w:val="00C74A01"/>
    <w:rsid w:val="00C77C64"/>
    <w:rsid w:val="00C8624E"/>
    <w:rsid w:val="00C86677"/>
    <w:rsid w:val="00C93DBF"/>
    <w:rsid w:val="00CF4366"/>
    <w:rsid w:val="00CF6C14"/>
    <w:rsid w:val="00D072EA"/>
    <w:rsid w:val="00D30B9B"/>
    <w:rsid w:val="00D4646D"/>
    <w:rsid w:val="00D72E12"/>
    <w:rsid w:val="00D7308E"/>
    <w:rsid w:val="00D92726"/>
    <w:rsid w:val="00DA4ACC"/>
    <w:rsid w:val="00DA6C3C"/>
    <w:rsid w:val="00DB088B"/>
    <w:rsid w:val="00DB196B"/>
    <w:rsid w:val="00DC15B2"/>
    <w:rsid w:val="00DE71A6"/>
    <w:rsid w:val="00DE7457"/>
    <w:rsid w:val="00DF0C23"/>
    <w:rsid w:val="00E1257D"/>
    <w:rsid w:val="00E13A98"/>
    <w:rsid w:val="00E1676C"/>
    <w:rsid w:val="00E25DBD"/>
    <w:rsid w:val="00E327DD"/>
    <w:rsid w:val="00E40AC3"/>
    <w:rsid w:val="00E62758"/>
    <w:rsid w:val="00E8766D"/>
    <w:rsid w:val="00E9309C"/>
    <w:rsid w:val="00EB64DB"/>
    <w:rsid w:val="00EE6841"/>
    <w:rsid w:val="00EE6876"/>
    <w:rsid w:val="00EF6E32"/>
    <w:rsid w:val="00F16200"/>
    <w:rsid w:val="00F20872"/>
    <w:rsid w:val="00F23D9D"/>
    <w:rsid w:val="00F537D1"/>
    <w:rsid w:val="00F727DA"/>
    <w:rsid w:val="00F76452"/>
    <w:rsid w:val="00F82C5D"/>
    <w:rsid w:val="00F94F4F"/>
    <w:rsid w:val="00FC06EF"/>
    <w:rsid w:val="00FC16A8"/>
    <w:rsid w:val="00FC1F7F"/>
    <w:rsid w:val="00FC36AB"/>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1D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character" w:customStyle="1" w:styleId="Heading2Char">
    <w:name w:val="Heading 2 Char"/>
    <w:basedOn w:val="DefaultParagraphFont"/>
    <w:link w:val="Heading2"/>
    <w:uiPriority w:val="9"/>
    <w:semiHidden/>
    <w:rsid w:val="00AF1DE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473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F7B3E"/>
    <w:pPr>
      <w:spacing w:after="0" w:line="240" w:lineRule="auto"/>
    </w:pPr>
    <w:rPr>
      <w:rFonts w:ascii="Calibri" w:hAnsi="Calibri" w:cs="Times New Roman"/>
    </w:rPr>
  </w:style>
  <w:style w:type="paragraph" w:customStyle="1" w:styleId="xmsonormal">
    <w:name w:val="xmsonormal"/>
    <w:basedOn w:val="Normal"/>
    <w:rsid w:val="00906C87"/>
    <w:pPr>
      <w:spacing w:after="0" w:line="240" w:lineRule="auto"/>
    </w:pPr>
    <w:rPr>
      <w:rFonts w:ascii="Calibri" w:hAnsi="Calibri" w:cs="Times New Roman"/>
      <w:lang w:eastAsia="en-GB"/>
    </w:rPr>
  </w:style>
  <w:style w:type="character" w:styleId="Strong">
    <w:name w:val="Strong"/>
    <w:basedOn w:val="DefaultParagraphFont"/>
    <w:uiPriority w:val="22"/>
    <w:qFormat/>
    <w:rsid w:val="00393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88850">
      <w:bodyDiv w:val="1"/>
      <w:marLeft w:val="0"/>
      <w:marRight w:val="0"/>
      <w:marTop w:val="0"/>
      <w:marBottom w:val="0"/>
      <w:divBdr>
        <w:top w:val="none" w:sz="0" w:space="0" w:color="auto"/>
        <w:left w:val="none" w:sz="0" w:space="0" w:color="auto"/>
        <w:bottom w:val="none" w:sz="0" w:space="0" w:color="auto"/>
        <w:right w:val="none" w:sz="0" w:space="0" w:color="auto"/>
      </w:divBdr>
    </w:div>
    <w:div w:id="415781729">
      <w:bodyDiv w:val="1"/>
      <w:marLeft w:val="0"/>
      <w:marRight w:val="0"/>
      <w:marTop w:val="0"/>
      <w:marBottom w:val="0"/>
      <w:divBdr>
        <w:top w:val="none" w:sz="0" w:space="0" w:color="auto"/>
        <w:left w:val="none" w:sz="0" w:space="0" w:color="auto"/>
        <w:bottom w:val="none" w:sz="0" w:space="0" w:color="auto"/>
        <w:right w:val="none" w:sz="0" w:space="0" w:color="auto"/>
      </w:divBdr>
    </w:div>
    <w:div w:id="569582925">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77003969">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600987787">
      <w:bodyDiv w:val="1"/>
      <w:marLeft w:val="0"/>
      <w:marRight w:val="0"/>
      <w:marTop w:val="0"/>
      <w:marBottom w:val="0"/>
      <w:divBdr>
        <w:top w:val="none" w:sz="0" w:space="0" w:color="auto"/>
        <w:left w:val="none" w:sz="0" w:space="0" w:color="auto"/>
        <w:bottom w:val="none" w:sz="0" w:space="0" w:color="auto"/>
        <w:right w:val="none" w:sz="0" w:space="0" w:color="auto"/>
      </w:divBdr>
    </w:div>
    <w:div w:id="1660813468">
      <w:bodyDiv w:val="1"/>
      <w:marLeft w:val="0"/>
      <w:marRight w:val="0"/>
      <w:marTop w:val="0"/>
      <w:marBottom w:val="0"/>
      <w:divBdr>
        <w:top w:val="none" w:sz="0" w:space="0" w:color="auto"/>
        <w:left w:val="none" w:sz="0" w:space="0" w:color="auto"/>
        <w:bottom w:val="none" w:sz="0" w:space="0" w:color="auto"/>
        <w:right w:val="none" w:sz="0" w:space="0" w:color="auto"/>
      </w:divBdr>
    </w:div>
    <w:div w:id="17072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coronavirus-vaccination/" TargetMode="External"/><Relationship Id="rId18" Type="http://schemas.openxmlformats.org/officeDocument/2006/relationships/hyperlink" Target="https://www.england.nhs.uk/coronavirus/wp-content/uploads/sites/52/2020/03/C1026_Freeing-up-GP-practices-letter_070121.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www.england.nhs.uk/2021/02/call-for-people-aged-70-and-over-to-contact-nhs-for-a-covid-jab/" TargetMode="External"/><Relationship Id="rId17" Type="http://schemas.openxmlformats.org/officeDocument/2006/relationships/hyperlink" Target="https://www.england.nhs.uk/coronavirus/wp-content/uploads/sites/52/2020/03/C1050-freeing-up-practices-to-support-covid-vaccination-further-details-3-feb-2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hs.uk/covid-vaccination." TargetMode="External"/><Relationship Id="rId20" Type="http://schemas.openxmlformats.org/officeDocument/2006/relationships/hyperlink" Target="https://www.bma.org.uk/advice-and-support/covid-19/gp-practices/covid-19-toolkit-for-gps-and-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s.nhs.uk/articles/transporting-the-astrazeneca-covid-19-vaccine-from-pcn-designated-sites-to-end-user-locations-patients-homes-and-within-the-pcn-groupi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ngland.nhs.uk/coronavirus/wp-content/uploads/sites/52/2021/01/C1125-Self-referral-for-social-care-worker-vaccination-11-February-2021.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coronavirus/publication/assurance-of-covid-19-vaccination-offer-for-all-eligible-health-and-social-care-workers/" TargetMode="External"/><Relationship Id="rId22" Type="http://schemas.openxmlformats.org/officeDocument/2006/relationships/hyperlink" Target="https://www.england.nhs.uk/publication/implementing-phase-3-of-the-nhs-response-to-the-covid-19-pandem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Jenni Downes</cp:lastModifiedBy>
  <cp:revision>6</cp:revision>
  <dcterms:created xsi:type="dcterms:W3CDTF">2021-02-15T15:35:00Z</dcterms:created>
  <dcterms:modified xsi:type="dcterms:W3CDTF">2021-02-16T14:44:00Z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