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6DF7E79E" w14:textId="76FB99FD" w:rsidR="0014236A" w:rsidRPr="00825276" w:rsidRDefault="001B4E81" w:rsidP="00825276">
      <w:pPr>
        <w:jc w:val="center"/>
        <w:rPr>
          <w:b/>
          <w:bCs/>
          <w:i/>
          <w:iCs/>
          <w:color w:val="4472C4" w:themeColor="accent1"/>
          <w:sz w:val="32"/>
          <w:szCs w:val="32"/>
        </w:rPr>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523C237D"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C638FA">
                              <w:rPr>
                                <w:b/>
                                <w:bCs/>
                                <w:i/>
                                <w:iCs/>
                                <w:color w:val="4472C4" w:themeColor="accent1"/>
                                <w:sz w:val="44"/>
                                <w:szCs w:val="44"/>
                              </w:rPr>
                              <w:t>19</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left:0;text-align:left;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523C237D"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C638FA">
                        <w:rPr>
                          <w:b/>
                          <w:bCs/>
                          <w:i/>
                          <w:iCs/>
                          <w:color w:val="4472C4" w:themeColor="accent1"/>
                          <w:sz w:val="44"/>
                          <w:szCs w:val="44"/>
                        </w:rPr>
                        <w:t>19</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v:textbox>
                <w10:wrap type="topAndBottom" anchorx="page"/>
              </v:shape>
            </w:pict>
          </mc:Fallback>
        </mc:AlternateContent>
      </w:r>
      <w:r w:rsidR="00AF1DEC">
        <w:rPr>
          <w:b/>
          <w:bCs/>
          <w:i/>
          <w:iCs/>
          <w:color w:val="4472C4" w:themeColor="accent1"/>
          <w:sz w:val="32"/>
          <w:szCs w:val="32"/>
        </w:rPr>
        <w:t>E</w:t>
      </w:r>
      <w:r w:rsidR="00AF1DEC" w:rsidRPr="003444A3">
        <w:rPr>
          <w:b/>
          <w:bCs/>
          <w:i/>
          <w:iCs/>
          <w:color w:val="4472C4" w:themeColor="accent1"/>
          <w:sz w:val="32"/>
          <w:szCs w:val="32"/>
        </w:rPr>
        <w:t>XTRAORDINARY COVID-19 UPDATE</w:t>
      </w:r>
    </w:p>
    <w:p w14:paraId="08192228" w14:textId="3EDB993C" w:rsidR="00825276" w:rsidRPr="00825276" w:rsidRDefault="00DA4ACC" w:rsidP="0059792C">
      <w:pPr>
        <w:pStyle w:val="ListParagraph"/>
        <w:numPr>
          <w:ilvl w:val="0"/>
          <w:numId w:val="8"/>
        </w:numPr>
        <w:rPr>
          <w:b/>
          <w:bCs/>
          <w:color w:val="000000"/>
        </w:rPr>
      </w:pPr>
      <w:hyperlink w:anchor="Mark_1" w:history="1">
        <w:r w:rsidR="00E1257D" w:rsidRPr="00DA4ACC">
          <w:rPr>
            <w:rStyle w:val="Hyperlink"/>
            <w:b/>
            <w:bCs/>
          </w:rPr>
          <w:t xml:space="preserve">COVID-19 vaccination programme </w:t>
        </w:r>
        <w:r w:rsidRPr="00DA4ACC">
          <w:rPr>
            <w:rStyle w:val="Hyperlink"/>
            <w:b/>
            <w:bCs/>
          </w:rPr>
          <w:t>guidance</w:t>
        </w:r>
      </w:hyperlink>
    </w:p>
    <w:p w14:paraId="385584B2" w14:textId="75D237D8" w:rsidR="00825276" w:rsidRPr="00825276" w:rsidRDefault="0083104F" w:rsidP="0059792C">
      <w:pPr>
        <w:pStyle w:val="ListParagraph"/>
        <w:numPr>
          <w:ilvl w:val="0"/>
          <w:numId w:val="8"/>
        </w:numPr>
        <w:rPr>
          <w:b/>
          <w:bCs/>
          <w:color w:val="000000"/>
        </w:rPr>
      </w:pPr>
      <w:hyperlink w:anchor="Mark_2" w:history="1">
        <w:r w:rsidR="00825276" w:rsidRPr="0083104F">
          <w:rPr>
            <w:rStyle w:val="Hyperlink"/>
            <w:b/>
            <w:bCs/>
          </w:rPr>
          <w:t>Vaccination of healthcare workers</w:t>
        </w:r>
      </w:hyperlink>
    </w:p>
    <w:p w14:paraId="531433B8" w14:textId="27E5B562" w:rsidR="00F94F4F" w:rsidRDefault="0083104F" w:rsidP="0059792C">
      <w:pPr>
        <w:pStyle w:val="ListParagraph"/>
        <w:numPr>
          <w:ilvl w:val="0"/>
          <w:numId w:val="8"/>
        </w:numPr>
        <w:rPr>
          <w:b/>
          <w:bCs/>
          <w:color w:val="000000"/>
        </w:rPr>
      </w:pPr>
      <w:hyperlink w:anchor="Mark_3" w:history="1">
        <w:r w:rsidR="00F94F4F" w:rsidRPr="0083104F">
          <w:rPr>
            <w:rStyle w:val="Hyperlink"/>
            <w:b/>
            <w:bCs/>
          </w:rPr>
          <w:t>Financial Support to Support the Administration of Pinnacle</w:t>
        </w:r>
      </w:hyperlink>
    </w:p>
    <w:p w14:paraId="7CE9E53A" w14:textId="7FBA8E87" w:rsidR="00E8766D" w:rsidRPr="008B5226" w:rsidRDefault="0083104F" w:rsidP="008B5226">
      <w:pPr>
        <w:pStyle w:val="ListParagraph"/>
        <w:numPr>
          <w:ilvl w:val="0"/>
          <w:numId w:val="8"/>
        </w:numPr>
        <w:rPr>
          <w:b/>
          <w:bCs/>
          <w:color w:val="000000"/>
        </w:rPr>
      </w:pPr>
      <w:hyperlink w:anchor="Mark_4" w:history="1">
        <w:r w:rsidR="00825276" w:rsidRPr="0083104F">
          <w:rPr>
            <w:rStyle w:val="Hyperlink"/>
            <w:b/>
            <w:bCs/>
          </w:rPr>
          <w:t>Workload prioritisation: Level 4 or 5</w:t>
        </w:r>
      </w:hyperlink>
    </w:p>
    <w:p w14:paraId="0BFC279E" w14:textId="4C11078C" w:rsidR="00327E09" w:rsidRPr="00327E09" w:rsidRDefault="0083104F" w:rsidP="00327E09">
      <w:pPr>
        <w:pStyle w:val="ListParagraph"/>
        <w:numPr>
          <w:ilvl w:val="0"/>
          <w:numId w:val="8"/>
        </w:numPr>
      </w:pPr>
      <w:hyperlink w:anchor="Mark_5" w:history="1">
        <w:r w:rsidR="008B5226" w:rsidRPr="0083104F">
          <w:rPr>
            <w:rStyle w:val="Hyperlink"/>
            <w:b/>
            <w:bCs/>
          </w:rPr>
          <w:t>COVID PPE scheme extended until June 2021 </w:t>
        </w:r>
      </w:hyperlink>
    </w:p>
    <w:p w14:paraId="38C39074" w14:textId="12D33202" w:rsidR="004F02FF" w:rsidRPr="00090C38" w:rsidRDefault="0083104F" w:rsidP="00090C38">
      <w:pPr>
        <w:pStyle w:val="ListParagraph"/>
        <w:numPr>
          <w:ilvl w:val="0"/>
          <w:numId w:val="8"/>
        </w:numPr>
      </w:pPr>
      <w:hyperlink w:anchor="Mark_6" w:history="1">
        <w:r w:rsidR="008B5226" w:rsidRPr="0083104F">
          <w:rPr>
            <w:rStyle w:val="Hyperlink"/>
            <w:b/>
            <w:bCs/>
          </w:rPr>
          <w:t>Pulse oximetry guidance update</w:t>
        </w:r>
        <w:r w:rsidR="008B5226" w:rsidRPr="0083104F">
          <w:rPr>
            <w:rStyle w:val="Hyperlink"/>
          </w:rPr>
          <w:t> </w:t>
        </w:r>
      </w:hyperlink>
    </w:p>
    <w:p w14:paraId="3087D5A7" w14:textId="66BC2ED9" w:rsidR="00090C38" w:rsidRPr="000B48EB" w:rsidRDefault="0083104F" w:rsidP="008B5226">
      <w:pPr>
        <w:pStyle w:val="ListParagraph"/>
        <w:numPr>
          <w:ilvl w:val="0"/>
          <w:numId w:val="8"/>
        </w:numPr>
        <w:spacing w:after="0"/>
        <w:ind w:left="714" w:hanging="357"/>
      </w:pPr>
      <w:hyperlink w:anchor="Mark_7" w:history="1">
        <w:r w:rsidR="008B5226" w:rsidRPr="0083104F">
          <w:rPr>
            <w:rStyle w:val="Hyperlink"/>
            <w:b/>
            <w:bCs/>
          </w:rPr>
          <w:t>Guidance for clinically extremely vulnerable (CEV) patients </w:t>
        </w:r>
      </w:hyperlink>
    </w:p>
    <w:p w14:paraId="19B429B1" w14:textId="5C121F06" w:rsidR="008B5226" w:rsidRPr="0083104F" w:rsidRDefault="0083104F" w:rsidP="008B5226">
      <w:pPr>
        <w:pStyle w:val="NormalWeb"/>
        <w:numPr>
          <w:ilvl w:val="0"/>
          <w:numId w:val="8"/>
        </w:numPr>
        <w:spacing w:before="0" w:beforeAutospacing="0" w:after="0" w:afterAutospacing="0" w:line="315" w:lineRule="atLeast"/>
        <w:textAlignment w:val="center"/>
        <w:rPr>
          <w:rStyle w:val="Strong"/>
          <w:rFonts w:asciiTheme="minorHAnsi" w:hAnsiTheme="minorHAnsi" w:cs="Arial"/>
          <w:b w:val="0"/>
          <w:bCs w:val="0"/>
          <w:color w:val="030303"/>
          <w:position w:val="17"/>
          <w:sz w:val="22"/>
          <w:szCs w:val="22"/>
        </w:rPr>
      </w:pPr>
      <w:hyperlink w:anchor="Mark_8" w:history="1">
        <w:r w:rsidR="008B5226" w:rsidRPr="0083104F">
          <w:rPr>
            <w:rStyle w:val="Hyperlink"/>
            <w:rFonts w:asciiTheme="minorHAnsi" w:hAnsiTheme="minorHAnsi" w:cs="Arial"/>
            <w:b/>
            <w:bCs/>
            <w:position w:val="17"/>
            <w:sz w:val="22"/>
            <w:szCs w:val="22"/>
          </w:rPr>
          <w:t>Change in legislation to allow any GMC registered doctor to administer the COVID-vaccine</w:t>
        </w:r>
      </w:hyperlink>
      <w:r w:rsidR="008B5226" w:rsidRPr="0083104F">
        <w:rPr>
          <w:rStyle w:val="Strong"/>
          <w:rFonts w:asciiTheme="minorHAnsi" w:hAnsiTheme="minorHAnsi" w:cs="Arial"/>
          <w:b w:val="0"/>
          <w:bCs w:val="0"/>
          <w:color w:val="030303"/>
          <w:position w:val="17"/>
          <w:sz w:val="22"/>
          <w:szCs w:val="22"/>
        </w:rPr>
        <w:t xml:space="preserve"> </w:t>
      </w:r>
    </w:p>
    <w:p w14:paraId="1D0E4A3F" w14:textId="777A1FBA" w:rsidR="008B5226" w:rsidRPr="0083104F" w:rsidRDefault="0083104F" w:rsidP="008B5226">
      <w:pPr>
        <w:pStyle w:val="NormalWeb"/>
        <w:numPr>
          <w:ilvl w:val="0"/>
          <w:numId w:val="8"/>
        </w:numPr>
        <w:spacing w:before="0" w:beforeAutospacing="0" w:after="0" w:afterAutospacing="0" w:line="315" w:lineRule="atLeast"/>
        <w:textAlignment w:val="center"/>
        <w:rPr>
          <w:rStyle w:val="Strong"/>
          <w:rFonts w:asciiTheme="minorHAnsi" w:hAnsiTheme="minorHAnsi" w:cs="Arial"/>
          <w:b w:val="0"/>
          <w:bCs w:val="0"/>
          <w:color w:val="030303"/>
          <w:position w:val="17"/>
          <w:sz w:val="22"/>
          <w:szCs w:val="22"/>
        </w:rPr>
      </w:pPr>
      <w:hyperlink w:anchor="Mark_9" w:history="1">
        <w:r w:rsidR="008B5226" w:rsidRPr="0083104F">
          <w:rPr>
            <w:rStyle w:val="Hyperlink"/>
            <w:rFonts w:asciiTheme="minorHAnsi" w:hAnsiTheme="minorHAnsi" w:cs="Arial"/>
            <w:b/>
            <w:bCs/>
            <w:position w:val="17"/>
            <w:sz w:val="22"/>
            <w:szCs w:val="22"/>
          </w:rPr>
          <w:t>Access to National Workforce Supply Routes for PCN’s delivering the COVID-19 vaccine</w:t>
        </w:r>
      </w:hyperlink>
    </w:p>
    <w:p w14:paraId="473598E0" w14:textId="177F9904" w:rsidR="008B5226" w:rsidRDefault="0083104F" w:rsidP="008B5226">
      <w:pPr>
        <w:pStyle w:val="NormalWeb"/>
        <w:numPr>
          <w:ilvl w:val="0"/>
          <w:numId w:val="8"/>
        </w:numPr>
        <w:spacing w:before="0" w:beforeAutospacing="0" w:after="0" w:afterAutospacing="0" w:line="315" w:lineRule="atLeast"/>
        <w:textAlignment w:val="center"/>
        <w:rPr>
          <w:rFonts w:asciiTheme="minorHAnsi" w:hAnsiTheme="minorHAnsi" w:cs="Arial"/>
          <w:b/>
          <w:bCs/>
          <w:color w:val="030303"/>
          <w:position w:val="17"/>
          <w:sz w:val="22"/>
          <w:szCs w:val="22"/>
        </w:rPr>
      </w:pPr>
      <w:hyperlink w:anchor="Mark_10" w:history="1">
        <w:r w:rsidR="008B5226" w:rsidRPr="0083104F">
          <w:rPr>
            <w:rStyle w:val="Hyperlink"/>
            <w:rFonts w:asciiTheme="minorHAnsi" w:hAnsiTheme="minorHAnsi" w:cs="Arial"/>
            <w:b/>
            <w:bCs/>
            <w:position w:val="17"/>
            <w:sz w:val="22"/>
            <w:szCs w:val="22"/>
          </w:rPr>
          <w:t>BMA guidance on COVID-19 vaccination</w:t>
        </w:r>
      </w:hyperlink>
    </w:p>
    <w:p w14:paraId="3B8C3791" w14:textId="77777777" w:rsidR="008508A4" w:rsidRPr="008B5226" w:rsidRDefault="008508A4" w:rsidP="008508A4">
      <w:pPr>
        <w:pStyle w:val="NormalWeb"/>
        <w:spacing w:before="0" w:beforeAutospacing="0" w:after="0" w:afterAutospacing="0" w:line="315" w:lineRule="atLeast"/>
        <w:ind w:left="720"/>
        <w:textAlignment w:val="center"/>
        <w:rPr>
          <w:rFonts w:asciiTheme="minorHAnsi" w:hAnsiTheme="minorHAnsi" w:cs="Arial"/>
          <w:b/>
          <w:bCs/>
          <w:color w:val="030303"/>
          <w:position w:val="17"/>
          <w:sz w:val="22"/>
          <w:szCs w:val="22"/>
        </w:rPr>
      </w:pPr>
    </w:p>
    <w:p w14:paraId="02E2D5AA" w14:textId="7D5393E6" w:rsidR="00327E09" w:rsidRPr="000F7B3E" w:rsidRDefault="00327E09" w:rsidP="00E1257D">
      <w:pPr>
        <w:pStyle w:val="ListParagraph"/>
        <w:rPr>
          <w:rStyle w:val="Hyperlink"/>
          <w:color w:val="auto"/>
          <w:u w:val="none"/>
        </w:rPr>
      </w:pPr>
    </w:p>
    <w:p w14:paraId="448E3475" w14:textId="19A7B1B3" w:rsidR="00E1257D" w:rsidRPr="00E1257D" w:rsidRDefault="00E1257D" w:rsidP="00E1257D">
      <w:pPr>
        <w:pStyle w:val="ListParagraph"/>
        <w:numPr>
          <w:ilvl w:val="0"/>
          <w:numId w:val="19"/>
        </w:num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bookmarkStart w:id="1" w:name="Mark_1"/>
      <w:r w:rsidRPr="00E1257D">
        <w:rPr>
          <w:b/>
          <w:bCs/>
          <w:color w:val="000000"/>
        </w:rPr>
        <w:t>COVID-19 vaccinations programme guidance </w:t>
      </w:r>
    </w:p>
    <w:bookmarkEnd w:id="1"/>
    <w:p w14:paraId="1E7F405A" w14:textId="77777777" w:rsidR="00E1257D" w:rsidRPr="00736CAB" w:rsidRDefault="00E1257D" w:rsidP="00E1257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 xml:space="preserve">The </w:t>
      </w:r>
      <w:hyperlink r:id="rId11" w:history="1">
        <w:r w:rsidRPr="00736CAB">
          <w:rPr>
            <w:rStyle w:val="Hyperlink"/>
            <w:sz w:val="20"/>
            <w:szCs w:val="20"/>
          </w:rPr>
          <w:t>national protocol for the Pfizer/</w:t>
        </w:r>
        <w:proofErr w:type="spellStart"/>
        <w:r w:rsidRPr="00736CAB">
          <w:rPr>
            <w:rStyle w:val="Hyperlink"/>
            <w:sz w:val="20"/>
            <w:szCs w:val="20"/>
          </w:rPr>
          <w:t>BioNtech</w:t>
        </w:r>
        <w:proofErr w:type="spellEnd"/>
        <w:r w:rsidRPr="00736CAB">
          <w:rPr>
            <w:rStyle w:val="Hyperlink"/>
            <w:sz w:val="20"/>
            <w:szCs w:val="20"/>
          </w:rPr>
          <w:t xml:space="preserve"> vaccine</w:t>
        </w:r>
      </w:hyperlink>
      <w:r w:rsidRPr="00736CAB">
        <w:rPr>
          <w:color w:val="000000"/>
          <w:sz w:val="20"/>
          <w:szCs w:val="20"/>
        </w:rPr>
        <w:t xml:space="preserve"> has been updated to </w:t>
      </w:r>
      <w:r w:rsidRPr="00736CAB">
        <w:rPr>
          <w:color w:val="000000"/>
          <w:sz w:val="20"/>
          <w:szCs w:val="20"/>
          <w:lang w:val="en-US"/>
        </w:rPr>
        <w:t>define minimum dose interval and vaccination in accordance with national recommendations “</w:t>
      </w:r>
      <w:r w:rsidRPr="00736CAB">
        <w:rPr>
          <w:color w:val="000000"/>
          <w:sz w:val="20"/>
          <w:szCs w:val="20"/>
        </w:rPr>
        <w:t>For operational purposes the second dose may be given between 3 to 12 weeks following the first dose or in accordance with official guidance at the time.”</w:t>
      </w:r>
      <w:r w:rsidRPr="00736CAB">
        <w:rPr>
          <w:color w:val="000000"/>
          <w:sz w:val="20"/>
          <w:szCs w:val="20"/>
          <w:lang w:val="en-US"/>
        </w:rPr>
        <w:t> </w:t>
      </w:r>
    </w:p>
    <w:p w14:paraId="12D479FD" w14:textId="77777777" w:rsidR="00E1257D" w:rsidRPr="00736CAB" w:rsidRDefault="00E1257D" w:rsidP="00E1257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 xml:space="preserve">The </w:t>
      </w:r>
      <w:hyperlink r:id="rId12" w:history="1">
        <w:r w:rsidRPr="00736CAB">
          <w:rPr>
            <w:rStyle w:val="Hyperlink"/>
            <w:sz w:val="20"/>
            <w:szCs w:val="20"/>
          </w:rPr>
          <w:t xml:space="preserve">AstraZeneca (Oxford) vaccine national protocol </w:t>
        </w:r>
      </w:hyperlink>
      <w:r w:rsidRPr="00736CAB">
        <w:rPr>
          <w:color w:val="000000"/>
          <w:sz w:val="20"/>
          <w:szCs w:val="20"/>
        </w:rPr>
        <w:t>has also now been published.  </w:t>
      </w:r>
    </w:p>
    <w:p w14:paraId="7C58A8B6" w14:textId="77777777" w:rsidR="00E1257D" w:rsidRPr="00736CAB" w:rsidRDefault="00E1257D" w:rsidP="00E1257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 xml:space="preserve">NHSE/I has published a letter with an </w:t>
      </w:r>
      <w:hyperlink r:id="rId13" w:history="1">
        <w:r w:rsidRPr="00736CAB">
          <w:rPr>
            <w:rStyle w:val="Hyperlink"/>
            <w:sz w:val="20"/>
            <w:szCs w:val="20"/>
          </w:rPr>
          <w:t>Instruction on timing of second dose of COVID-19 vaccinations</w:t>
        </w:r>
      </w:hyperlink>
      <w:r w:rsidRPr="00736CAB">
        <w:rPr>
          <w:color w:val="000000"/>
          <w:sz w:val="20"/>
          <w:szCs w:val="20"/>
        </w:rPr>
        <w:t xml:space="preserve">, which sets out that all vaccination sites ensure that all second dose appointments for both patients and health and care staff that have not already been rescheduled, must be rearranged to take place in the 12th week. The Academy of Medical Royal Colleges has also published a </w:t>
      </w:r>
      <w:hyperlink r:id="rId14" w:history="1">
        <w:r w:rsidRPr="00736CAB">
          <w:rPr>
            <w:rStyle w:val="Hyperlink"/>
            <w:sz w:val="20"/>
            <w:szCs w:val="20"/>
          </w:rPr>
          <w:t>statement</w:t>
        </w:r>
      </w:hyperlink>
      <w:r w:rsidRPr="00736CAB">
        <w:rPr>
          <w:color w:val="000000"/>
          <w:sz w:val="20"/>
          <w:szCs w:val="20"/>
        </w:rPr>
        <w:t xml:space="preserve"> supporting the decision of the four UK CMOs to prioritise the delivery of the first COVID-19 vaccine dose, and to delay the second dose to up to 12 weeks. </w:t>
      </w:r>
    </w:p>
    <w:p w14:paraId="704D4B18" w14:textId="77777777" w:rsidR="00E1257D" w:rsidRPr="00736CAB" w:rsidRDefault="00E1257D" w:rsidP="00E1257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 xml:space="preserve">Public Health England has this week published a </w:t>
      </w:r>
      <w:hyperlink r:id="rId15" w:history="1">
        <w:r w:rsidRPr="00736CAB">
          <w:rPr>
            <w:rStyle w:val="Hyperlink"/>
            <w:sz w:val="20"/>
            <w:szCs w:val="20"/>
          </w:rPr>
          <w:t>UK COVID-19 vaccine delivery plan</w:t>
        </w:r>
      </w:hyperlink>
      <w:r w:rsidRPr="00736CAB">
        <w:rPr>
          <w:color w:val="000000"/>
          <w:sz w:val="20"/>
          <w:szCs w:val="20"/>
        </w:rPr>
        <w:t xml:space="preserve"> as well as a </w:t>
      </w:r>
      <w:hyperlink r:id="rId16" w:history="1">
        <w:r w:rsidRPr="00736CAB">
          <w:rPr>
            <w:rStyle w:val="Hyperlink"/>
            <w:sz w:val="20"/>
            <w:szCs w:val="20"/>
          </w:rPr>
          <w:t>vaccine surveillance strategy</w:t>
        </w:r>
      </w:hyperlink>
      <w:r w:rsidRPr="00736CAB">
        <w:rPr>
          <w:color w:val="000000"/>
          <w:sz w:val="20"/>
          <w:szCs w:val="20"/>
        </w:rPr>
        <w:t>. PHE will monitor vaccine effectiveness at preventing both symptomatic and severe disease and at reducing infection and transmissibility. This will be accounted for across multiple different sub-groups including age (and other clinical risk factors), viral variants, number of doses administered, timing of doses, and the comparative effectiveness of different vaccines in the real world.  The BMA has produced the attached summary about the vaccine surveillance strategy</w:t>
      </w:r>
      <w:r>
        <w:rPr>
          <w:color w:val="000000"/>
          <w:sz w:val="20"/>
          <w:szCs w:val="20"/>
        </w:rPr>
        <w:t xml:space="preserve"> (Enc.1).</w:t>
      </w:r>
    </w:p>
    <w:p w14:paraId="6046D705" w14:textId="3F6EACAB" w:rsidR="00E1257D" w:rsidRDefault="00E1257D" w:rsidP="00E1257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The CQC has confirmed in the attached letter</w:t>
      </w:r>
      <w:r w:rsidR="00DA4ACC">
        <w:rPr>
          <w:color w:val="000000"/>
          <w:sz w:val="20"/>
          <w:szCs w:val="20"/>
        </w:rPr>
        <w:t xml:space="preserve"> (Enc.2)</w:t>
      </w:r>
      <w:r w:rsidRPr="00736CAB">
        <w:rPr>
          <w:color w:val="000000"/>
          <w:sz w:val="20"/>
          <w:szCs w:val="20"/>
        </w:rPr>
        <w:t xml:space="preserve"> about the administration of the Pfizer-</w:t>
      </w:r>
      <w:proofErr w:type="spellStart"/>
      <w:r w:rsidRPr="00736CAB">
        <w:rPr>
          <w:color w:val="000000"/>
          <w:sz w:val="20"/>
          <w:szCs w:val="20"/>
        </w:rPr>
        <w:t>BioNTech</w:t>
      </w:r>
      <w:proofErr w:type="spellEnd"/>
      <w:r w:rsidRPr="00736CAB">
        <w:rPr>
          <w:color w:val="000000"/>
          <w:sz w:val="20"/>
          <w:szCs w:val="20"/>
        </w:rPr>
        <w:t xml:space="preserve"> Covid-19 vaccination that adhering to</w:t>
      </w:r>
      <w:r w:rsidRPr="00736CAB">
        <w:rPr>
          <w:i/>
          <w:iCs/>
          <w:color w:val="000000"/>
          <w:sz w:val="20"/>
          <w:szCs w:val="20"/>
        </w:rPr>
        <w:t xml:space="preserve"> ‘appropriate, authoritative guidance’ </w:t>
      </w:r>
      <w:r w:rsidRPr="00736CAB">
        <w:rPr>
          <w:color w:val="000000"/>
          <w:sz w:val="20"/>
          <w:szCs w:val="20"/>
        </w:rPr>
        <w:t xml:space="preserve">such as JCVI/CMO national guidance on vaccinations </w:t>
      </w:r>
      <w:r w:rsidRPr="00736CAB">
        <w:rPr>
          <w:i/>
          <w:iCs/>
          <w:color w:val="000000"/>
          <w:sz w:val="20"/>
          <w:szCs w:val="20"/>
        </w:rPr>
        <w:t>‘</w:t>
      </w:r>
      <w:proofErr w:type="gramStart"/>
      <w:r w:rsidRPr="00736CAB">
        <w:rPr>
          <w:i/>
          <w:iCs/>
          <w:color w:val="000000"/>
          <w:sz w:val="20"/>
          <w:szCs w:val="20"/>
        </w:rPr>
        <w:t>is considered to be</w:t>
      </w:r>
      <w:proofErr w:type="gramEnd"/>
      <w:r w:rsidRPr="00736CAB">
        <w:rPr>
          <w:i/>
          <w:iCs/>
          <w:color w:val="000000"/>
          <w:sz w:val="20"/>
          <w:szCs w:val="20"/>
        </w:rPr>
        <w:t xml:space="preserve"> entirely appropriate’</w:t>
      </w:r>
      <w:r w:rsidRPr="00736CAB">
        <w:rPr>
          <w:color w:val="000000"/>
          <w:sz w:val="20"/>
          <w:szCs w:val="20"/>
        </w:rPr>
        <w:t xml:space="preserve">. Similarly, in the attached letter </w:t>
      </w:r>
      <w:r w:rsidR="002B0CD6">
        <w:rPr>
          <w:color w:val="000000"/>
          <w:sz w:val="20"/>
          <w:szCs w:val="20"/>
        </w:rPr>
        <w:t>(Enc.</w:t>
      </w:r>
      <w:r w:rsidR="00DA4ACC">
        <w:rPr>
          <w:color w:val="000000"/>
          <w:sz w:val="20"/>
          <w:szCs w:val="20"/>
        </w:rPr>
        <w:t>3</w:t>
      </w:r>
      <w:r w:rsidR="002B0CD6">
        <w:rPr>
          <w:color w:val="000000"/>
          <w:sz w:val="20"/>
          <w:szCs w:val="20"/>
        </w:rPr>
        <w:t xml:space="preserve">) </w:t>
      </w:r>
      <w:r w:rsidRPr="00736CAB">
        <w:rPr>
          <w:color w:val="000000"/>
          <w:sz w:val="20"/>
          <w:szCs w:val="20"/>
        </w:rPr>
        <w:t>the GMC advised: ‘</w:t>
      </w:r>
      <w:r w:rsidRPr="00736CAB">
        <w:rPr>
          <w:i/>
          <w:iCs/>
          <w:color w:val="000000"/>
          <w:sz w:val="20"/>
          <w:szCs w:val="20"/>
        </w:rPr>
        <w:t>were a complaint to be received in the future where the sole concern was about a doctor having administered a vaccine in line with the recommendations of JCVI and the four CMOs it seems highly unlikely that this would raise any fitness to practise concerns about the individual’.</w:t>
      </w:r>
      <w:r w:rsidRPr="00736CAB">
        <w:rPr>
          <w:color w:val="000000"/>
          <w:sz w:val="20"/>
          <w:szCs w:val="20"/>
        </w:rPr>
        <w:t> </w:t>
      </w:r>
    </w:p>
    <w:p w14:paraId="1D4BC0F4" w14:textId="7E360829" w:rsidR="00E1257D" w:rsidRDefault="00E1257D" w:rsidP="00E1257D">
      <w:pPr>
        <w:jc w:val="both"/>
        <w:rPr>
          <w:color w:val="000000"/>
          <w:sz w:val="20"/>
          <w:szCs w:val="20"/>
        </w:rPr>
      </w:pPr>
    </w:p>
    <w:p w14:paraId="7BC36030" w14:textId="64AFC693" w:rsidR="00F94F4F" w:rsidRPr="00825276" w:rsidRDefault="00F94F4F" w:rsidP="00825276">
      <w:pPr>
        <w:pStyle w:val="ListParagraph"/>
        <w:numPr>
          <w:ilvl w:val="0"/>
          <w:numId w:val="19"/>
        </w:num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bookmarkStart w:id="2" w:name="Mark_2"/>
      <w:r w:rsidRPr="00825276">
        <w:rPr>
          <w:b/>
          <w:bCs/>
          <w:color w:val="000000"/>
        </w:rPr>
        <w:lastRenderedPageBreak/>
        <w:t>Vaccination of healthcare workers </w:t>
      </w:r>
    </w:p>
    <w:bookmarkEnd w:id="2"/>
    <w:p w14:paraId="114E0834" w14:textId="77777777" w:rsidR="00F94F4F" w:rsidRPr="00F47399" w:rsidRDefault="00F94F4F" w:rsidP="0082527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47399">
        <w:rPr>
          <w:color w:val="000000"/>
          <w:sz w:val="20"/>
          <w:szCs w:val="20"/>
        </w:rPr>
        <w:t xml:space="preserve">The BMA </w:t>
      </w:r>
      <w:hyperlink r:id="rId17" w:history="1">
        <w:r w:rsidRPr="00F47399">
          <w:rPr>
            <w:rStyle w:val="Hyperlink"/>
            <w:sz w:val="20"/>
            <w:szCs w:val="20"/>
          </w:rPr>
          <w:t>continues to call for all health and social care workers</w:t>
        </w:r>
      </w:hyperlink>
      <w:r w:rsidRPr="00F47399">
        <w:rPr>
          <w:color w:val="000000"/>
          <w:sz w:val="20"/>
          <w:szCs w:val="20"/>
        </w:rPr>
        <w:t xml:space="preserve"> to be given urgent priority to protect an already depleted workforce and to help prevent the NHS becoming overwhelmed.   </w:t>
      </w:r>
      <w:r w:rsidRPr="00F47399">
        <w:rPr>
          <w:rFonts w:ascii="Calibri Light" w:hAnsi="Calibri Light"/>
          <w:color w:val="002060"/>
          <w:sz w:val="20"/>
          <w:szCs w:val="20"/>
        </w:rPr>
        <w:t> </w:t>
      </w:r>
    </w:p>
    <w:p w14:paraId="799D629E" w14:textId="77777777" w:rsidR="00F94F4F" w:rsidRPr="00F47399" w:rsidRDefault="00F94F4F" w:rsidP="0082527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47399">
        <w:rPr>
          <w:color w:val="000000"/>
          <w:sz w:val="20"/>
          <w:szCs w:val="20"/>
        </w:rPr>
        <w:t xml:space="preserve">Practices should ensure that locum GPs they are in regular contact with are invited for vaccination </w:t>
      </w:r>
      <w:r w:rsidRPr="00F47399">
        <w:rPr>
          <w:color w:val="000000"/>
          <w:sz w:val="20"/>
          <w:szCs w:val="20"/>
          <w:lang w:val="en-US"/>
        </w:rPr>
        <w:t xml:space="preserve">either via hospital hubs or by the practice itself. Additionally, any healthcare staff who self-identify with their own registered GP practice should be vaccinated as per the </w:t>
      </w:r>
      <w:hyperlink r:id="rId18" w:history="1">
        <w:r w:rsidRPr="00F47399">
          <w:rPr>
            <w:rStyle w:val="Hyperlink"/>
            <w:sz w:val="20"/>
            <w:szCs w:val="20"/>
            <w:lang w:val="en-US"/>
          </w:rPr>
          <w:t>JCVI guidance</w:t>
        </w:r>
      </w:hyperlink>
      <w:r w:rsidRPr="00F47399">
        <w:rPr>
          <w:color w:val="000000"/>
          <w:sz w:val="20"/>
          <w:szCs w:val="20"/>
        </w:rPr>
        <w:t>.  </w:t>
      </w:r>
    </w:p>
    <w:p w14:paraId="25DD3C4A" w14:textId="77777777" w:rsidR="00F94F4F" w:rsidRPr="00F47399" w:rsidRDefault="00F94F4F" w:rsidP="0082527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47399">
        <w:rPr>
          <w:color w:val="000000"/>
          <w:sz w:val="20"/>
          <w:szCs w:val="20"/>
          <w:lang w:val="en-US"/>
        </w:rPr>
        <w:t>P</w:t>
      </w:r>
      <w:r w:rsidRPr="00F47399">
        <w:rPr>
          <w:color w:val="000000"/>
          <w:sz w:val="20"/>
          <w:szCs w:val="20"/>
        </w:rPr>
        <w:t>lease do not decline or turn away any health and social care workers. Consider maintaining waiting lists or signpost to other providers if vaccine availability is the rate limiting factor.  </w:t>
      </w:r>
    </w:p>
    <w:p w14:paraId="5BBE898C" w14:textId="3531E4D7" w:rsidR="00825276" w:rsidRDefault="00F94F4F" w:rsidP="0082527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cs="Arial"/>
          <w:b/>
          <w:bCs/>
          <w:color w:val="0070C0"/>
          <w:sz w:val="20"/>
          <w:szCs w:val="20"/>
        </w:rPr>
      </w:pPr>
      <w:r>
        <w:rPr>
          <w:rFonts w:asciiTheme="minorHAnsi" w:hAnsiTheme="minorHAnsi" w:cs="Arial"/>
          <w:sz w:val="20"/>
          <w:szCs w:val="20"/>
        </w:rPr>
        <w:t>We have been advised a</w:t>
      </w:r>
      <w:r w:rsidRPr="00F47399">
        <w:rPr>
          <w:rFonts w:asciiTheme="minorHAnsi" w:hAnsiTheme="minorHAnsi" w:cs="Arial"/>
          <w:sz w:val="20"/>
          <w:szCs w:val="20"/>
        </w:rPr>
        <w:t xml:space="preserve">ll Hospital Hubs will vaccinate the staff of any health and social care provider for example, dentists, optometrists, community-based physiotherapy, social care workers as well as their own employees.  </w:t>
      </w:r>
      <w:r w:rsidRPr="00F47399">
        <w:rPr>
          <w:rFonts w:asciiTheme="minorHAnsi" w:hAnsiTheme="minorHAnsi" w:cs="Arial"/>
          <w:b/>
          <w:bCs/>
          <w:sz w:val="20"/>
          <w:szCs w:val="20"/>
        </w:rPr>
        <w:t xml:space="preserve">To ensure available capacity is maximised, organisations will be notified of their primary vaccination </w:t>
      </w:r>
      <w:proofErr w:type="gramStart"/>
      <w:r w:rsidR="00825276">
        <w:rPr>
          <w:rFonts w:asciiTheme="minorHAnsi" w:hAnsiTheme="minorHAnsi" w:cs="Arial"/>
          <w:b/>
          <w:bCs/>
          <w:sz w:val="20"/>
          <w:szCs w:val="20"/>
        </w:rPr>
        <w:t>site</w:t>
      </w:r>
      <w:proofErr w:type="gramEnd"/>
    </w:p>
    <w:p w14:paraId="13A8E989" w14:textId="77777777" w:rsidR="00825276" w:rsidRPr="00825276"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4472C4" w:themeColor="accent1"/>
        </w:rPr>
      </w:pPr>
      <w:r w:rsidRPr="00825276">
        <w:rPr>
          <w:b/>
          <w:bCs/>
          <w:color w:val="4472C4" w:themeColor="accent1"/>
        </w:rPr>
        <w:t>Prioritisation of roles</w:t>
      </w:r>
    </w:p>
    <w:p w14:paraId="50CC014C" w14:textId="68154946" w:rsidR="00F94F4F" w:rsidRPr="00825276" w:rsidRDefault="00825276"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proofErr w:type="gramStart"/>
      <w:r>
        <w:t>I</w:t>
      </w:r>
      <w:r w:rsidR="00F94F4F" w:rsidRPr="00F47399">
        <w:t>n order to</w:t>
      </w:r>
      <w:proofErr w:type="gramEnd"/>
      <w:r w:rsidR="00F94F4F" w:rsidRPr="00F47399">
        <w:t xml:space="preserve"> ensure that all staff have consistent and fair access to the vaccine, and that those in greatest need receive it first, we are prioritising front line staff to have the vaccination first across all health and social care providers. This is to expedite access for those working in close contact with patients and the public, where exposure to and risk of infection is highest.</w:t>
      </w:r>
    </w:p>
    <w:p w14:paraId="0C4F660A" w14:textId="77777777" w:rsidR="00825276" w:rsidRPr="00825276"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4472C4" w:themeColor="accent1"/>
        </w:rPr>
      </w:pPr>
      <w:r w:rsidRPr="00F47399">
        <w:t xml:space="preserve">All health and social care providers are asked to identify their </w:t>
      </w:r>
      <w:proofErr w:type="gramStart"/>
      <w:r w:rsidRPr="00F47399">
        <w:t>front line</w:t>
      </w:r>
      <w:proofErr w:type="gramEnd"/>
      <w:r w:rsidRPr="00F47399">
        <w:t xml:space="preserve"> staff for the first wave of vaccinations during January and should encourage their staff book an appointment now for their first vaccination, if they have not already done so. </w:t>
      </w:r>
      <w:r w:rsidRPr="00F47399">
        <w:br/>
      </w:r>
      <w:r w:rsidRPr="00F47399">
        <w:br/>
      </w:r>
      <w:r w:rsidRPr="00F47399">
        <w:br/>
      </w:r>
      <w:r w:rsidRPr="00825276">
        <w:rPr>
          <w:b/>
          <w:bCs/>
          <w:color w:val="4472C4" w:themeColor="accent1"/>
        </w:rPr>
        <w:t>How to book an appointment at a Hospital Hub</w:t>
      </w:r>
    </w:p>
    <w:p w14:paraId="592BB0B4" w14:textId="281A1975"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Appointments for frontline workers are available at the following locations:</w:t>
      </w:r>
    </w:p>
    <w:p w14:paraId="7C26DFB3" w14:textId="77777777" w:rsidR="00F94F4F" w:rsidRPr="00F47399" w:rsidRDefault="00F94F4F" w:rsidP="0082527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sz w:val="20"/>
          <w:szCs w:val="20"/>
        </w:rPr>
      </w:pPr>
      <w:r w:rsidRPr="00F47399">
        <w:rPr>
          <w:rFonts w:asciiTheme="minorHAnsi" w:hAnsiTheme="minorHAnsi" w:cs="Arial"/>
          <w:b/>
          <w:bCs/>
          <w:sz w:val="20"/>
          <w:szCs w:val="20"/>
        </w:rPr>
        <w:t>Queen Elizabeth Hospital, ITM Building</w:t>
      </w:r>
      <w:r w:rsidRPr="00F47399">
        <w:rPr>
          <w:rFonts w:asciiTheme="minorHAnsi" w:hAnsiTheme="minorHAnsi" w:cs="Arial"/>
          <w:color w:val="000000"/>
          <w:sz w:val="20"/>
          <w:szCs w:val="20"/>
        </w:rPr>
        <w:t xml:space="preserve"> - </w:t>
      </w:r>
      <w:hyperlink r:id="rId19" w:history="1">
        <w:r w:rsidRPr="00F47399">
          <w:rPr>
            <w:rStyle w:val="Hyperlink"/>
            <w:rFonts w:asciiTheme="minorHAnsi" w:hAnsiTheme="minorHAnsi" w:cs="Arial"/>
            <w:color w:val="000000"/>
            <w:sz w:val="20"/>
            <w:szCs w:val="20"/>
          </w:rPr>
          <w:t>https://my.drdoctor.co.uk/clinic/QEHITMa</w:t>
        </w:r>
      </w:hyperlink>
      <w:r w:rsidRPr="00F47399">
        <w:rPr>
          <w:rFonts w:asciiTheme="minorHAnsi" w:hAnsiTheme="minorHAnsi" w:cs="Arial"/>
          <w:color w:val="000000"/>
          <w:sz w:val="20"/>
          <w:szCs w:val="20"/>
        </w:rPr>
        <w:t xml:space="preserve"> </w:t>
      </w:r>
      <w:r w:rsidRPr="00F47399">
        <w:rPr>
          <w:rFonts w:asciiTheme="minorHAnsi" w:hAnsiTheme="minorHAnsi" w:cs="Arial"/>
          <w:color w:val="000000"/>
          <w:sz w:val="20"/>
          <w:szCs w:val="20"/>
        </w:rPr>
        <w:br/>
      </w:r>
      <w:r w:rsidRPr="00F47399">
        <w:rPr>
          <w:rFonts w:asciiTheme="minorHAnsi" w:hAnsiTheme="minorHAnsi" w:cs="Arial"/>
          <w:b/>
          <w:bCs/>
          <w:color w:val="000000"/>
          <w:sz w:val="20"/>
          <w:szCs w:val="20"/>
        </w:rPr>
        <w:t>H</w:t>
      </w:r>
      <w:r w:rsidRPr="00F47399">
        <w:rPr>
          <w:rFonts w:asciiTheme="minorHAnsi" w:hAnsiTheme="minorHAnsi" w:cs="Arial"/>
          <w:b/>
          <w:bCs/>
          <w:sz w:val="20"/>
          <w:szCs w:val="20"/>
        </w:rPr>
        <w:t>eartlands Hospital, Hawthorn House</w:t>
      </w:r>
      <w:r w:rsidRPr="00F47399">
        <w:rPr>
          <w:rFonts w:asciiTheme="minorHAnsi" w:hAnsiTheme="minorHAnsi" w:cs="Arial"/>
          <w:color w:val="000000"/>
          <w:sz w:val="20"/>
          <w:szCs w:val="20"/>
        </w:rPr>
        <w:t xml:space="preserve"> -</w:t>
      </w:r>
      <w:r w:rsidRPr="00F47399">
        <w:rPr>
          <w:rFonts w:asciiTheme="minorHAnsi" w:hAnsiTheme="minorHAnsi" w:cs="Arial"/>
          <w:b/>
          <w:bCs/>
          <w:color w:val="000000"/>
          <w:sz w:val="20"/>
          <w:szCs w:val="20"/>
        </w:rPr>
        <w:t xml:space="preserve"> </w:t>
      </w:r>
      <w:hyperlink r:id="rId20" w:history="1">
        <w:r w:rsidRPr="00F47399">
          <w:rPr>
            <w:rStyle w:val="Hyperlink"/>
            <w:rFonts w:asciiTheme="minorHAnsi" w:hAnsiTheme="minorHAnsi" w:cs="Arial"/>
            <w:color w:val="000000"/>
            <w:sz w:val="20"/>
            <w:szCs w:val="20"/>
          </w:rPr>
          <w:t>https://my.drdoctor.co.uk/clinic/Heartlands1603</w:t>
        </w:r>
      </w:hyperlink>
      <w:r w:rsidRPr="00F47399">
        <w:rPr>
          <w:rFonts w:asciiTheme="minorHAnsi" w:hAnsiTheme="minorHAnsi" w:cs="Arial"/>
          <w:color w:val="000000"/>
          <w:sz w:val="20"/>
          <w:szCs w:val="20"/>
        </w:rPr>
        <w:br/>
      </w:r>
      <w:r w:rsidRPr="00F47399">
        <w:rPr>
          <w:rFonts w:asciiTheme="minorHAnsi" w:hAnsiTheme="minorHAnsi" w:cs="Arial"/>
          <w:b/>
          <w:bCs/>
          <w:sz w:val="20"/>
          <w:szCs w:val="20"/>
        </w:rPr>
        <w:t>Good Hope Hospital, Clinical Skills</w:t>
      </w:r>
      <w:r w:rsidRPr="00F47399">
        <w:rPr>
          <w:rFonts w:asciiTheme="minorHAnsi" w:hAnsiTheme="minorHAnsi" w:cs="Arial"/>
          <w:sz w:val="20"/>
          <w:szCs w:val="20"/>
        </w:rPr>
        <w:t xml:space="preserve"> </w:t>
      </w:r>
      <w:r w:rsidRPr="00F47399">
        <w:rPr>
          <w:rFonts w:asciiTheme="minorHAnsi" w:hAnsiTheme="minorHAnsi" w:cs="Arial"/>
          <w:color w:val="000000"/>
          <w:sz w:val="20"/>
          <w:szCs w:val="20"/>
        </w:rPr>
        <w:t>-</w:t>
      </w:r>
      <w:r w:rsidRPr="00F47399">
        <w:rPr>
          <w:rFonts w:asciiTheme="minorHAnsi" w:hAnsiTheme="minorHAnsi" w:cs="Arial"/>
          <w:b/>
          <w:bCs/>
          <w:color w:val="000000"/>
          <w:sz w:val="20"/>
          <w:szCs w:val="20"/>
        </w:rPr>
        <w:t xml:space="preserve"> </w:t>
      </w:r>
      <w:hyperlink r:id="rId21" w:history="1">
        <w:r w:rsidRPr="00F47399">
          <w:rPr>
            <w:rStyle w:val="Hyperlink"/>
            <w:rFonts w:asciiTheme="minorHAnsi" w:hAnsiTheme="minorHAnsi" w:cs="Arial"/>
            <w:color w:val="000000"/>
            <w:sz w:val="20"/>
            <w:szCs w:val="20"/>
          </w:rPr>
          <w:t>https://my.drdoctor.co.uk/clinic/GoodHopeHospital</w:t>
        </w:r>
      </w:hyperlink>
      <w:r w:rsidRPr="00F47399">
        <w:rPr>
          <w:rFonts w:asciiTheme="minorHAnsi" w:hAnsiTheme="minorHAnsi" w:cs="Arial"/>
          <w:color w:val="000000"/>
          <w:sz w:val="20"/>
          <w:szCs w:val="20"/>
        </w:rPr>
        <w:br/>
      </w:r>
      <w:r w:rsidRPr="00F47399">
        <w:rPr>
          <w:rFonts w:asciiTheme="minorHAnsi" w:hAnsiTheme="minorHAnsi" w:cs="Arial"/>
          <w:b/>
          <w:bCs/>
          <w:sz w:val="20"/>
          <w:szCs w:val="20"/>
        </w:rPr>
        <w:t>Birmingham Children’s Hospital, Waterfall House</w:t>
      </w:r>
      <w:r w:rsidRPr="00F47399">
        <w:rPr>
          <w:rFonts w:asciiTheme="minorHAnsi" w:hAnsiTheme="minorHAnsi" w:cs="Arial"/>
          <w:color w:val="000000"/>
          <w:sz w:val="20"/>
          <w:szCs w:val="20"/>
        </w:rPr>
        <w:t xml:space="preserve"> -</w:t>
      </w:r>
      <w:r w:rsidRPr="00F47399">
        <w:rPr>
          <w:rFonts w:asciiTheme="minorHAnsi" w:hAnsiTheme="minorHAnsi" w:cs="Arial"/>
          <w:b/>
          <w:bCs/>
          <w:color w:val="000000"/>
          <w:sz w:val="20"/>
          <w:szCs w:val="20"/>
        </w:rPr>
        <w:t xml:space="preserve"> </w:t>
      </w:r>
      <w:hyperlink r:id="rId22" w:history="1">
        <w:r w:rsidRPr="00F47399">
          <w:rPr>
            <w:rStyle w:val="Hyperlink"/>
            <w:rFonts w:asciiTheme="minorHAnsi" w:hAnsiTheme="minorHAnsi" w:cs="Arial"/>
            <w:color w:val="000000"/>
            <w:sz w:val="20"/>
            <w:szCs w:val="20"/>
          </w:rPr>
          <w:t>https://my.drdoctor.co.uk/clinic/BWCH</w:t>
        </w:r>
      </w:hyperlink>
      <w:r w:rsidRPr="00F47399">
        <w:rPr>
          <w:rFonts w:asciiTheme="minorHAnsi" w:hAnsiTheme="minorHAnsi" w:cs="Arial"/>
          <w:color w:val="000000"/>
          <w:sz w:val="20"/>
          <w:szCs w:val="20"/>
        </w:rPr>
        <w:br/>
      </w:r>
      <w:r w:rsidRPr="00F47399">
        <w:rPr>
          <w:rFonts w:asciiTheme="minorHAnsi" w:hAnsiTheme="minorHAnsi" w:cs="Arial"/>
          <w:b/>
          <w:bCs/>
          <w:sz w:val="20"/>
          <w:szCs w:val="20"/>
        </w:rPr>
        <w:t>Royal Orthopaedic Hospital</w:t>
      </w:r>
      <w:r w:rsidRPr="00F47399">
        <w:rPr>
          <w:rFonts w:asciiTheme="minorHAnsi" w:hAnsiTheme="minorHAnsi" w:cs="Arial"/>
          <w:sz w:val="20"/>
          <w:szCs w:val="20"/>
        </w:rPr>
        <w:t xml:space="preserve"> </w:t>
      </w:r>
      <w:r w:rsidRPr="00F47399">
        <w:rPr>
          <w:rFonts w:asciiTheme="minorHAnsi" w:hAnsiTheme="minorHAnsi" w:cs="Arial"/>
          <w:color w:val="000000"/>
          <w:sz w:val="20"/>
          <w:szCs w:val="20"/>
        </w:rPr>
        <w:t>-</w:t>
      </w:r>
      <w:r w:rsidRPr="00F47399">
        <w:rPr>
          <w:rFonts w:asciiTheme="minorHAnsi" w:hAnsiTheme="minorHAnsi" w:cs="Arial"/>
          <w:b/>
          <w:bCs/>
          <w:color w:val="000000"/>
          <w:sz w:val="20"/>
          <w:szCs w:val="20"/>
        </w:rPr>
        <w:t xml:space="preserve"> </w:t>
      </w:r>
      <w:hyperlink r:id="rId23" w:history="1">
        <w:r w:rsidRPr="00F47399">
          <w:rPr>
            <w:rStyle w:val="Hyperlink"/>
            <w:rFonts w:asciiTheme="minorHAnsi" w:hAnsiTheme="minorHAnsi" w:cs="Arial"/>
            <w:color w:val="000000"/>
            <w:sz w:val="20"/>
            <w:szCs w:val="20"/>
          </w:rPr>
          <w:t>https://my.drdoctor.co.uk/clinic/rohvaccinationclinic</w:t>
        </w:r>
      </w:hyperlink>
      <w:r w:rsidRPr="00F47399">
        <w:rPr>
          <w:rFonts w:asciiTheme="minorHAnsi" w:hAnsiTheme="minorHAnsi" w:cs="Arial"/>
          <w:sz w:val="20"/>
          <w:szCs w:val="20"/>
        </w:rPr>
        <w:br/>
      </w:r>
      <w:r w:rsidRPr="00F47399">
        <w:rPr>
          <w:rFonts w:asciiTheme="minorHAnsi" w:hAnsiTheme="minorHAnsi" w:cs="Arial"/>
          <w:b/>
          <w:bCs/>
          <w:sz w:val="20"/>
          <w:szCs w:val="20"/>
        </w:rPr>
        <w:br/>
        <w:t>Please ensure to open the links in GOOGLE CHROME</w:t>
      </w:r>
      <w:r w:rsidRPr="00F47399">
        <w:rPr>
          <w:rFonts w:asciiTheme="minorHAnsi" w:hAnsiTheme="minorHAnsi" w:cs="Arial"/>
          <w:color w:val="000000"/>
          <w:sz w:val="20"/>
          <w:szCs w:val="20"/>
        </w:rPr>
        <w:t xml:space="preserve">. Maps are attached </w:t>
      </w:r>
      <w:r w:rsidRPr="00F47399">
        <w:rPr>
          <w:rFonts w:asciiTheme="minorHAnsi" w:hAnsiTheme="minorHAnsi" w:cs="Arial"/>
          <w:sz w:val="20"/>
          <w:szCs w:val="20"/>
        </w:rPr>
        <w:t>for directions.</w:t>
      </w:r>
    </w:p>
    <w:p w14:paraId="7A60CEF5" w14:textId="77777777" w:rsidR="00F94F4F" w:rsidRPr="00F47399" w:rsidRDefault="00F94F4F" w:rsidP="0082527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sz w:val="20"/>
          <w:szCs w:val="20"/>
        </w:rPr>
      </w:pPr>
      <w:proofErr w:type="gramStart"/>
      <w:r w:rsidRPr="00F47399">
        <w:rPr>
          <w:rFonts w:asciiTheme="minorHAnsi" w:hAnsiTheme="minorHAnsi" w:cs="Arial"/>
          <w:sz w:val="20"/>
          <w:szCs w:val="20"/>
        </w:rPr>
        <w:t>In order to</w:t>
      </w:r>
      <w:proofErr w:type="gramEnd"/>
      <w:r w:rsidRPr="00F47399">
        <w:rPr>
          <w:rFonts w:asciiTheme="minorHAnsi" w:hAnsiTheme="minorHAnsi" w:cs="Arial"/>
          <w:sz w:val="20"/>
          <w:szCs w:val="20"/>
        </w:rPr>
        <w:t xml:space="preserve"> book an appointment staff will need to provide:</w:t>
      </w:r>
    </w:p>
    <w:p w14:paraId="6EF093CC" w14:textId="77777777"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Name</w:t>
      </w:r>
    </w:p>
    <w:p w14:paraId="1E62F09F" w14:textId="77777777"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Date of birth</w:t>
      </w:r>
    </w:p>
    <w:p w14:paraId="54B5D2CF" w14:textId="77777777"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NHS number</w:t>
      </w:r>
    </w:p>
    <w:p w14:paraId="5E65413D" w14:textId="77777777"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Residential post code</w:t>
      </w:r>
    </w:p>
    <w:p w14:paraId="6D84AC88" w14:textId="77777777" w:rsidR="00F94F4F" w:rsidRPr="00F47399" w:rsidRDefault="00F94F4F" w:rsidP="0082527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F47399">
        <w:t>Mobile telephone number (so that appointment date and time can be texted)</w:t>
      </w:r>
    </w:p>
    <w:p w14:paraId="2ABE0A4A" w14:textId="33E0C59A" w:rsidR="00F94F4F" w:rsidRPr="00F47399" w:rsidRDefault="00F94F4F" w:rsidP="0082527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sz w:val="20"/>
          <w:szCs w:val="20"/>
        </w:rPr>
      </w:pPr>
      <w:r w:rsidRPr="00F47399">
        <w:rPr>
          <w:rFonts w:asciiTheme="minorHAnsi" w:hAnsiTheme="minorHAnsi" w:cs="Arial"/>
          <w:b/>
          <w:bCs/>
          <w:sz w:val="20"/>
          <w:szCs w:val="20"/>
        </w:rPr>
        <w:t xml:space="preserve">On the day of appointment, your staff will need to bring proof of ID and proof of employer.  This can be an ID badge, </w:t>
      </w:r>
      <w:proofErr w:type="gramStart"/>
      <w:r w:rsidRPr="00F47399">
        <w:rPr>
          <w:rFonts w:asciiTheme="minorHAnsi" w:hAnsiTheme="minorHAnsi" w:cs="Arial"/>
          <w:b/>
          <w:bCs/>
          <w:sz w:val="20"/>
          <w:szCs w:val="20"/>
        </w:rPr>
        <w:t>payslip</w:t>
      </w:r>
      <w:proofErr w:type="gramEnd"/>
      <w:r w:rsidRPr="00F47399">
        <w:rPr>
          <w:rFonts w:asciiTheme="minorHAnsi" w:hAnsiTheme="minorHAnsi" w:cs="Arial"/>
          <w:b/>
          <w:bCs/>
          <w:sz w:val="20"/>
          <w:szCs w:val="20"/>
        </w:rPr>
        <w:t xml:space="preserve"> or letter. </w:t>
      </w:r>
    </w:p>
    <w:p w14:paraId="0DFB4644" w14:textId="473754DE" w:rsidR="00F94F4F" w:rsidRPr="00825276" w:rsidRDefault="00F94F4F" w:rsidP="0082527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asciiTheme="minorHAnsi" w:hAnsiTheme="minorHAnsi"/>
          <w:sz w:val="20"/>
          <w:szCs w:val="20"/>
        </w:rPr>
      </w:pPr>
      <w:r w:rsidRPr="00F47399">
        <w:rPr>
          <w:rFonts w:asciiTheme="minorHAnsi" w:hAnsiTheme="minorHAnsi" w:cs="Arial"/>
          <w:sz w:val="20"/>
          <w:szCs w:val="20"/>
        </w:rPr>
        <w:t xml:space="preserve">For any queries regarding COVID vaccination for health and social care staff should be directed to:  </w:t>
      </w:r>
      <w:hyperlink r:id="rId24" w:history="1">
        <w:r w:rsidRPr="00F47399">
          <w:rPr>
            <w:rStyle w:val="Hyperlink"/>
            <w:rFonts w:asciiTheme="minorHAnsi" w:hAnsiTheme="minorHAnsi" w:cs="Arial"/>
            <w:sz w:val="20"/>
            <w:szCs w:val="20"/>
          </w:rPr>
          <w:t>CovidVaccine@uhb.nhs.uk</w:t>
        </w:r>
      </w:hyperlink>
    </w:p>
    <w:p w14:paraId="40A448E3" w14:textId="77777777" w:rsidR="00393829" w:rsidRDefault="00393829" w:rsidP="00E1257D">
      <w:pPr>
        <w:jc w:val="both"/>
        <w:rPr>
          <w:color w:val="000000"/>
          <w:sz w:val="20"/>
          <w:szCs w:val="20"/>
        </w:rPr>
      </w:pPr>
    </w:p>
    <w:p w14:paraId="5A13C961" w14:textId="6AA14094" w:rsidR="00F94F4F" w:rsidRDefault="00825276" w:rsidP="00F94F4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3</w:t>
      </w:r>
      <w:r w:rsidR="00F94F4F">
        <w:rPr>
          <w:b/>
          <w:bCs/>
          <w:color w:val="000000"/>
        </w:rPr>
        <w:t>.</w:t>
      </w:r>
      <w:r w:rsidR="00F94F4F">
        <w:rPr>
          <w:b/>
          <w:bCs/>
          <w:color w:val="000000"/>
        </w:rPr>
        <w:tab/>
      </w:r>
      <w:bookmarkStart w:id="3" w:name="Mark_3"/>
      <w:r w:rsidR="00F94F4F">
        <w:rPr>
          <w:b/>
          <w:bCs/>
          <w:color w:val="000000"/>
        </w:rPr>
        <w:t>Financial Support to Support the Administration of Pinnacle</w:t>
      </w:r>
      <w:bookmarkEnd w:id="3"/>
    </w:p>
    <w:p w14:paraId="44216CB9" w14:textId="77777777" w:rsidR="00F94F4F" w:rsidRPr="00F47399" w:rsidRDefault="00F94F4F" w:rsidP="00F94F4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47399">
        <w:rPr>
          <w:color w:val="000000"/>
          <w:sz w:val="20"/>
          <w:szCs w:val="20"/>
        </w:rPr>
        <w:t xml:space="preserve">NHSE/I </w:t>
      </w:r>
      <w:proofErr w:type="gramStart"/>
      <w:r w:rsidRPr="00F47399">
        <w:rPr>
          <w:color w:val="000000"/>
          <w:sz w:val="20"/>
          <w:szCs w:val="20"/>
        </w:rPr>
        <w:t>has</w:t>
      </w:r>
      <w:proofErr w:type="gramEnd"/>
      <w:r w:rsidRPr="00F47399">
        <w:rPr>
          <w:color w:val="000000"/>
          <w:sz w:val="20"/>
          <w:szCs w:val="20"/>
        </w:rPr>
        <w:t xml:space="preserve"> provided new payment to support the administration of the Pinnacle system. Vaccination must be recorded immediately in Pinnacle </w:t>
      </w:r>
      <w:proofErr w:type="gramStart"/>
      <w:r w:rsidRPr="00F47399">
        <w:rPr>
          <w:color w:val="000000"/>
          <w:sz w:val="20"/>
          <w:szCs w:val="20"/>
        </w:rPr>
        <w:t>in order to</w:t>
      </w:r>
      <w:proofErr w:type="gramEnd"/>
      <w:r w:rsidRPr="00F47399">
        <w:rPr>
          <w:color w:val="000000"/>
          <w:sz w:val="20"/>
          <w:szCs w:val="20"/>
        </w:rPr>
        <w:t xml:space="preserve"> ensure the clinical record is updated and to be sure that PCNs are paid for the work that they are undertaking. PCNs bringing in additional workforce between now and the end of January to ensure that all records for vaccination of priority cohorts are up to date and recorded properly in Pinnacle will be eligible to claim up to £950 per week (a maximum of £2500 per PCN grouping) of funding support. </w:t>
      </w:r>
    </w:p>
    <w:p w14:paraId="7F45AB35" w14:textId="2EC60AFD" w:rsidR="00E1257D" w:rsidRDefault="00E1257D" w:rsidP="00E1257D">
      <w:pPr>
        <w:jc w:val="both"/>
        <w:rPr>
          <w:color w:val="000000"/>
          <w:sz w:val="20"/>
          <w:szCs w:val="20"/>
        </w:rPr>
      </w:pPr>
    </w:p>
    <w:p w14:paraId="678ACDA8" w14:textId="64D0C796" w:rsidR="00825276" w:rsidRPr="00825276" w:rsidRDefault="00825276" w:rsidP="0082527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r>
        <w:rPr>
          <w:b/>
          <w:bCs/>
          <w:color w:val="000000"/>
        </w:rPr>
        <w:t>4.</w:t>
      </w:r>
      <w:r>
        <w:rPr>
          <w:b/>
          <w:bCs/>
          <w:color w:val="000000"/>
        </w:rPr>
        <w:tab/>
      </w:r>
      <w:bookmarkStart w:id="4" w:name="Mark_4"/>
      <w:r w:rsidRPr="00825276">
        <w:rPr>
          <w:b/>
          <w:bCs/>
          <w:color w:val="000000"/>
        </w:rPr>
        <w:t>Workload prioritisation: Level 4 or 5 </w:t>
      </w:r>
      <w:bookmarkEnd w:id="4"/>
    </w:p>
    <w:p w14:paraId="15784E47" w14:textId="53008ACF" w:rsidR="004F02FF" w:rsidRPr="00C554A7" w:rsidRDefault="00825276" w:rsidP="00825276">
      <w:pPr>
        <w:pStyle w:val="x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rPr>
          <w:rFonts w:cstheme="minorHAnsi"/>
          <w:color w:val="030303"/>
          <w:position w:val="17"/>
          <w:sz w:val="20"/>
          <w:szCs w:val="20"/>
        </w:rPr>
      </w:pPr>
      <w:r>
        <w:rPr>
          <w:color w:val="000000"/>
          <w:sz w:val="20"/>
          <w:szCs w:val="20"/>
        </w:rPr>
        <w:t>The BMA</w:t>
      </w:r>
      <w:r w:rsidRPr="008A313C">
        <w:rPr>
          <w:color w:val="000000"/>
          <w:sz w:val="20"/>
          <w:szCs w:val="20"/>
          <w:lang w:eastAsia="en-US"/>
        </w:rPr>
        <w:t xml:space="preserve"> have updated </w:t>
      </w:r>
      <w:r>
        <w:rPr>
          <w:color w:val="000000"/>
          <w:sz w:val="20"/>
          <w:szCs w:val="20"/>
        </w:rPr>
        <w:t>their</w:t>
      </w:r>
      <w:r w:rsidRPr="008A313C">
        <w:rPr>
          <w:color w:val="000000"/>
          <w:sz w:val="20"/>
          <w:szCs w:val="20"/>
          <w:lang w:eastAsia="en-US"/>
        </w:rPr>
        <w:t xml:space="preserve"> joint </w:t>
      </w:r>
      <w:hyperlink r:id="rId25" w:anchor="workload" w:history="1">
        <w:r w:rsidRPr="008A313C">
          <w:rPr>
            <w:rStyle w:val="Hyperlink"/>
            <w:sz w:val="20"/>
            <w:szCs w:val="20"/>
            <w:lang w:eastAsia="en-US"/>
          </w:rPr>
          <w:t>guidance with RCGP on workload prioritisation for primary care</w:t>
        </w:r>
      </w:hyperlink>
      <w:r w:rsidRPr="008A313C">
        <w:rPr>
          <w:color w:val="000000"/>
          <w:sz w:val="20"/>
          <w:szCs w:val="20"/>
          <w:lang w:eastAsia="en-US"/>
        </w:rPr>
        <w:t xml:space="preserve">, which sets out what practices should consider doing are in a national lockdown, to help practices during the immense workload pressures are currently under. This is in addition to the set of </w:t>
      </w:r>
      <w:hyperlink r:id="rId26" w:history="1">
        <w:r w:rsidRPr="008A313C">
          <w:rPr>
            <w:rStyle w:val="Hyperlink"/>
            <w:sz w:val="20"/>
            <w:szCs w:val="20"/>
            <w:lang w:eastAsia="en-US"/>
          </w:rPr>
          <w:t>further measures</w:t>
        </w:r>
      </w:hyperlink>
      <w:r w:rsidRPr="008A313C">
        <w:rPr>
          <w:color w:val="000000"/>
          <w:sz w:val="20"/>
          <w:szCs w:val="20"/>
          <w:lang w:eastAsia="en-US"/>
        </w:rPr>
        <w:t xml:space="preserve"> that we</w:t>
      </w:r>
      <w:r>
        <w:rPr>
          <w:color w:val="000000"/>
          <w:sz w:val="20"/>
          <w:szCs w:val="20"/>
        </w:rPr>
        <w:t>re</w:t>
      </w:r>
      <w:r w:rsidRPr="008A313C">
        <w:rPr>
          <w:color w:val="000000"/>
          <w:sz w:val="20"/>
          <w:szCs w:val="20"/>
          <w:lang w:eastAsia="en-US"/>
        </w:rPr>
        <w:t xml:space="preserve"> agreed with NHSE/I to help and support practices</w:t>
      </w:r>
      <w:r w:rsidR="004F02FF" w:rsidRPr="004473AE">
        <w:rPr>
          <w:b/>
          <w:bCs/>
        </w:rPr>
        <w:tab/>
      </w:r>
    </w:p>
    <w:p w14:paraId="43C69941" w14:textId="58FB590E" w:rsidR="00E8766D" w:rsidRDefault="00E8766D" w:rsidP="00E8766D">
      <w:pPr>
        <w:pStyle w:val="NoSpacing"/>
      </w:pPr>
    </w:p>
    <w:p w14:paraId="6F626B01" w14:textId="0654D0A7" w:rsidR="00327E09" w:rsidRDefault="00327E09" w:rsidP="00FC16A8"/>
    <w:p w14:paraId="59226CBF" w14:textId="43D067EF" w:rsidR="00393829" w:rsidRPr="00111AC2" w:rsidRDefault="00393829" w:rsidP="00393829">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5.</w:t>
      </w:r>
      <w:r>
        <w:rPr>
          <w:b/>
          <w:bCs/>
        </w:rPr>
        <w:tab/>
      </w:r>
      <w:bookmarkStart w:id="5" w:name="Mark_5"/>
      <w:r w:rsidRPr="00111AC2">
        <w:rPr>
          <w:b/>
          <w:bCs/>
        </w:rPr>
        <w:t>COVID PPE scheme extended until June 2021 </w:t>
      </w:r>
      <w:bookmarkEnd w:id="5"/>
    </w:p>
    <w:p w14:paraId="18B2D167" w14:textId="77777777" w:rsidR="00393829" w:rsidRPr="00111AC2"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111AC2">
        <w:rPr>
          <w:color w:val="000000"/>
          <w:sz w:val="20"/>
          <w:szCs w:val="20"/>
        </w:rPr>
        <w:t xml:space="preserve">The Government has announced that it is extending the provision of </w:t>
      </w:r>
      <w:hyperlink r:id="rId27" w:history="1">
        <w:r w:rsidRPr="00111AC2">
          <w:rPr>
            <w:rStyle w:val="Hyperlink"/>
            <w:sz w:val="20"/>
            <w:szCs w:val="20"/>
          </w:rPr>
          <w:t>free COVID-19 PPE for all health, social care and public sector workers</w:t>
        </w:r>
      </w:hyperlink>
      <w:r w:rsidRPr="00111AC2">
        <w:rPr>
          <w:color w:val="000000"/>
          <w:sz w:val="20"/>
          <w:szCs w:val="20"/>
        </w:rPr>
        <w:t>, until at least the end of June. This will ensure frontline and wider public service workers can continue to access rigorously tested and high-quality PPE.  </w:t>
      </w:r>
    </w:p>
    <w:p w14:paraId="1F18131E" w14:textId="77777777" w:rsidR="00393829" w:rsidRPr="00111AC2"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111AC2">
        <w:rPr>
          <w:color w:val="000000"/>
          <w:sz w:val="20"/>
          <w:szCs w:val="20"/>
        </w:rPr>
        <w:t>Practices should continue to access COVID-19 PPE via the</w:t>
      </w:r>
      <w:hyperlink r:id="rId28" w:history="1">
        <w:r w:rsidRPr="00111AC2">
          <w:rPr>
            <w:rStyle w:val="Hyperlink"/>
            <w:sz w:val="20"/>
            <w:szCs w:val="20"/>
          </w:rPr>
          <w:t xml:space="preserve"> PPE portal</w:t>
        </w:r>
      </w:hyperlink>
      <w:r w:rsidRPr="00111AC2">
        <w:rPr>
          <w:color w:val="000000"/>
          <w:sz w:val="20"/>
          <w:szCs w:val="20"/>
        </w:rPr>
        <w:t>.  </w:t>
      </w:r>
    </w:p>
    <w:p w14:paraId="79A2304D" w14:textId="77777777" w:rsidR="00393829" w:rsidRPr="00111AC2"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111AC2">
        <w:rPr>
          <w:color w:val="000000"/>
          <w:sz w:val="20"/>
          <w:szCs w:val="20"/>
        </w:rPr>
        <w:t>The BMA has also called for enhanced and more appropriate PPE to be made available to staff in all healthcare settings, in a letter to the Government’s health minister for prevention, public health and primary care Jo Churchill, and a letter to Public Health England. Read more</w:t>
      </w:r>
      <w:hyperlink r:id="rId29" w:history="1">
        <w:r w:rsidRPr="00111AC2">
          <w:rPr>
            <w:rStyle w:val="Hyperlink"/>
            <w:sz w:val="20"/>
            <w:szCs w:val="20"/>
          </w:rPr>
          <w:t xml:space="preserve"> here</w:t>
        </w:r>
      </w:hyperlink>
      <w:r w:rsidRPr="00111AC2">
        <w:rPr>
          <w:color w:val="000000"/>
          <w:sz w:val="20"/>
          <w:szCs w:val="20"/>
        </w:rPr>
        <w:t> </w:t>
      </w:r>
    </w:p>
    <w:p w14:paraId="361BAC30" w14:textId="77777777" w:rsidR="00393829" w:rsidRDefault="00393829" w:rsidP="00393829">
      <w:pPr>
        <w:rPr>
          <w:b/>
          <w:bCs/>
          <w:color w:val="000000"/>
        </w:rPr>
      </w:pPr>
    </w:p>
    <w:p w14:paraId="7E6FB204" w14:textId="7D4F013A" w:rsidR="00393829" w:rsidRPr="00393829"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6.</w:t>
      </w:r>
      <w:r>
        <w:rPr>
          <w:b/>
          <w:bCs/>
          <w:color w:val="000000"/>
        </w:rPr>
        <w:tab/>
      </w:r>
      <w:bookmarkStart w:id="6" w:name="Mark_6"/>
      <w:r>
        <w:rPr>
          <w:b/>
          <w:bCs/>
          <w:color w:val="000000"/>
        </w:rPr>
        <w:t>Pulse oximetry guidance update</w:t>
      </w:r>
      <w:r>
        <w:rPr>
          <w:color w:val="000000"/>
        </w:rPr>
        <w:t> </w:t>
      </w:r>
      <w:bookmarkEnd w:id="6"/>
    </w:p>
    <w:p w14:paraId="1E0D43CF" w14:textId="77777777" w:rsidR="00393829" w:rsidRPr="00444333"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44333">
        <w:rPr>
          <w:color w:val="000000"/>
          <w:sz w:val="20"/>
          <w:szCs w:val="20"/>
        </w:rPr>
        <w:t xml:space="preserve">The guidance for </w:t>
      </w:r>
      <w:hyperlink r:id="rId30" w:history="1">
        <w:r w:rsidRPr="00444333">
          <w:rPr>
            <w:rStyle w:val="Hyperlink"/>
            <w:sz w:val="20"/>
            <w:szCs w:val="20"/>
          </w:rPr>
          <w:t>pulse oximetry to detect early deterioration of patients with COVID-19 in primary and community care settings</w:t>
        </w:r>
      </w:hyperlink>
      <w:r w:rsidRPr="00444333">
        <w:rPr>
          <w:color w:val="000000"/>
          <w:sz w:val="20"/>
          <w:szCs w:val="20"/>
        </w:rPr>
        <w:t xml:space="preserve"> has been updated. Pulse oximeters can be used as a tool for patients most at risk of poor outcomes from COVID-19. It is used to identify oxygen levels and warn the patient to the risk of ‘silent hypoxia’ and rapid deterioration at home.  </w:t>
      </w:r>
    </w:p>
    <w:p w14:paraId="6C8229FC" w14:textId="77777777" w:rsidR="0028528B" w:rsidRDefault="0028528B" w:rsidP="00FE1174"/>
    <w:p w14:paraId="49BF0A9C" w14:textId="798CF2F8" w:rsidR="0028528B" w:rsidRDefault="0028528B" w:rsidP="00AF1DEC"/>
    <w:p w14:paraId="2F521160" w14:textId="7A715E52" w:rsidR="00393829" w:rsidRDefault="00393829" w:rsidP="00AF1DEC"/>
    <w:p w14:paraId="6A3C76CF" w14:textId="2CA6C954" w:rsidR="00393829" w:rsidRDefault="00393829" w:rsidP="00AF1DEC"/>
    <w:p w14:paraId="15866519" w14:textId="5FE131CB" w:rsidR="00393829" w:rsidRDefault="00393829" w:rsidP="00AF1DEC"/>
    <w:p w14:paraId="7FCDA260" w14:textId="637CE1A4" w:rsidR="00393829"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r>
        <w:rPr>
          <w:b/>
          <w:bCs/>
          <w:color w:val="000000"/>
        </w:rPr>
        <w:t>7.</w:t>
      </w:r>
      <w:r>
        <w:rPr>
          <w:b/>
          <w:bCs/>
          <w:color w:val="000000"/>
        </w:rPr>
        <w:tab/>
      </w:r>
      <w:bookmarkStart w:id="7" w:name="Mark_7"/>
      <w:r>
        <w:rPr>
          <w:b/>
          <w:bCs/>
          <w:color w:val="000000"/>
        </w:rPr>
        <w:t>Guidance for clinically extremely vulnerable (CEV) patients </w:t>
      </w:r>
      <w:bookmarkEnd w:id="7"/>
    </w:p>
    <w:p w14:paraId="0EDB2BEC" w14:textId="77777777" w:rsidR="00393829" w:rsidRPr="00444333"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44333">
        <w:rPr>
          <w:color w:val="000000"/>
          <w:sz w:val="20"/>
          <w:szCs w:val="20"/>
        </w:rPr>
        <w:t xml:space="preserve">Following the introduction of another national lockdown, the Government will be sending </w:t>
      </w:r>
      <w:hyperlink r:id="rId31" w:tgtFrame="_blank" w:history="1">
        <w:r w:rsidRPr="00444333">
          <w:rPr>
            <w:rStyle w:val="Hyperlink"/>
            <w:sz w:val="20"/>
            <w:szCs w:val="20"/>
          </w:rPr>
          <w:t>a letter</w:t>
        </w:r>
      </w:hyperlink>
      <w:r w:rsidRPr="00444333">
        <w:rPr>
          <w:color w:val="000000"/>
          <w:sz w:val="20"/>
          <w:szCs w:val="20"/>
        </w:rPr>
        <w:t xml:space="preserve"> with updated guidance to all clinically extremely vulnerable people, which again advises to take extra shielding measures to protect themselves, until at least 21 February 2021. The Government has also extended the offer of a free 4-month </w:t>
      </w:r>
      <w:hyperlink r:id="rId32" w:tgtFrame="_blank" w:history="1">
        <w:r w:rsidRPr="00444333">
          <w:rPr>
            <w:rStyle w:val="Hyperlink"/>
            <w:sz w:val="20"/>
            <w:szCs w:val="20"/>
          </w:rPr>
          <w:t>supply of vitamin D</w:t>
        </w:r>
      </w:hyperlink>
      <w:r w:rsidRPr="00444333">
        <w:rPr>
          <w:color w:val="000000"/>
          <w:sz w:val="20"/>
          <w:szCs w:val="20"/>
        </w:rPr>
        <w:t xml:space="preserve"> supplements for all adults who are clinically extremely vulnerable to support general. Access their updated </w:t>
      </w:r>
      <w:hyperlink r:id="rId33" w:tgtFrame="_blank" w:history="1">
        <w:r w:rsidRPr="00444333">
          <w:rPr>
            <w:rStyle w:val="Hyperlink"/>
            <w:sz w:val="20"/>
            <w:szCs w:val="20"/>
          </w:rPr>
          <w:t>guidance for clinically extremely vulnerable people</w:t>
        </w:r>
      </w:hyperlink>
      <w:r w:rsidRPr="00444333">
        <w:rPr>
          <w:color w:val="000000"/>
          <w:sz w:val="20"/>
          <w:szCs w:val="20"/>
        </w:rPr>
        <w:t> </w:t>
      </w:r>
    </w:p>
    <w:p w14:paraId="5D401E0C" w14:textId="54AA31F9" w:rsidR="00393829" w:rsidRPr="00393829"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44333">
        <w:rPr>
          <w:color w:val="000000"/>
          <w:sz w:val="20"/>
          <w:szCs w:val="20"/>
        </w:rPr>
        <w:t xml:space="preserve">GP practices continue remain open and whilst remote consultations should be the main way in which patient care is delivered, when it is clinically necessary to see vulnerable patients </w:t>
      </w:r>
      <w:proofErr w:type="gramStart"/>
      <w:r w:rsidRPr="00444333">
        <w:rPr>
          <w:color w:val="000000"/>
          <w:sz w:val="20"/>
          <w:szCs w:val="20"/>
        </w:rPr>
        <w:t>face-to-face</w:t>
      </w:r>
      <w:proofErr w:type="gramEnd"/>
      <w:r w:rsidRPr="00444333">
        <w:rPr>
          <w:color w:val="000000"/>
          <w:sz w:val="20"/>
          <w:szCs w:val="20"/>
        </w:rPr>
        <w:t xml:space="preserve"> they would normally be expected to attend the surgery. Read </w:t>
      </w:r>
      <w:r>
        <w:rPr>
          <w:color w:val="000000"/>
          <w:sz w:val="20"/>
          <w:szCs w:val="20"/>
        </w:rPr>
        <w:t>the</w:t>
      </w:r>
      <w:r w:rsidRPr="00444333">
        <w:rPr>
          <w:color w:val="000000"/>
          <w:sz w:val="20"/>
          <w:szCs w:val="20"/>
        </w:rPr>
        <w:t xml:space="preserve"> updated </w:t>
      </w:r>
      <w:hyperlink r:id="rId34" w:history="1">
        <w:r w:rsidRPr="00444333">
          <w:rPr>
            <w:rStyle w:val="Hyperlink"/>
            <w:sz w:val="20"/>
            <w:szCs w:val="20"/>
          </w:rPr>
          <w:t>guidance</w:t>
        </w:r>
      </w:hyperlink>
      <w:r>
        <w:rPr>
          <w:color w:val="000000"/>
          <w:sz w:val="20"/>
          <w:szCs w:val="20"/>
        </w:rPr>
        <w:t xml:space="preserve"> here.</w:t>
      </w:r>
    </w:p>
    <w:p w14:paraId="5DB8503E" w14:textId="77777777" w:rsidR="008B5226" w:rsidRDefault="008B5226" w:rsidP="008B5226">
      <w:pPr>
        <w:pStyle w:val="NormalWeb"/>
        <w:spacing w:before="300" w:beforeAutospacing="0" w:after="0" w:afterAutospacing="0" w:line="315" w:lineRule="atLeast"/>
        <w:textAlignment w:val="center"/>
        <w:rPr>
          <w:rStyle w:val="Strong"/>
          <w:rFonts w:asciiTheme="minorHAnsi" w:hAnsiTheme="minorHAnsi" w:cs="Arial"/>
          <w:color w:val="030303"/>
          <w:position w:val="17"/>
          <w:sz w:val="22"/>
          <w:szCs w:val="22"/>
        </w:rPr>
      </w:pPr>
    </w:p>
    <w:p w14:paraId="3B555973" w14:textId="50D2C188" w:rsidR="008B5226" w:rsidRPr="004E0EFE"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textAlignment w:val="center"/>
        <w:rPr>
          <w:rFonts w:asciiTheme="minorHAnsi" w:hAnsiTheme="minorHAnsi" w:cs="Arial"/>
          <w:color w:val="030303"/>
          <w:position w:val="17"/>
          <w:sz w:val="22"/>
          <w:szCs w:val="22"/>
        </w:rPr>
      </w:pPr>
      <w:r>
        <w:rPr>
          <w:rStyle w:val="Strong"/>
          <w:rFonts w:asciiTheme="minorHAnsi" w:hAnsiTheme="minorHAnsi" w:cs="Arial"/>
          <w:color w:val="030303"/>
          <w:position w:val="17"/>
          <w:sz w:val="22"/>
          <w:szCs w:val="22"/>
        </w:rPr>
        <w:t>8.</w:t>
      </w:r>
      <w:r>
        <w:rPr>
          <w:rStyle w:val="Strong"/>
          <w:rFonts w:asciiTheme="minorHAnsi" w:hAnsiTheme="minorHAnsi" w:cs="Arial"/>
          <w:color w:val="030303"/>
          <w:position w:val="17"/>
          <w:sz w:val="22"/>
          <w:szCs w:val="22"/>
        </w:rPr>
        <w:tab/>
      </w:r>
      <w:bookmarkStart w:id="8" w:name="Mark_8"/>
      <w:r w:rsidRPr="004E0EFE">
        <w:rPr>
          <w:rStyle w:val="Strong"/>
          <w:rFonts w:asciiTheme="minorHAnsi" w:hAnsiTheme="minorHAnsi" w:cs="Arial"/>
          <w:color w:val="030303"/>
          <w:position w:val="17"/>
          <w:sz w:val="22"/>
          <w:szCs w:val="22"/>
        </w:rPr>
        <w:t xml:space="preserve">Change in legislation to allow any GMC registered doctor to administer the COVID-vaccine </w:t>
      </w:r>
      <w:bookmarkEnd w:id="8"/>
    </w:p>
    <w:p w14:paraId="54555509" w14:textId="77777777" w:rsidR="008B5226" w:rsidRPr="004E0EFE"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4E0EFE">
        <w:rPr>
          <w:rFonts w:asciiTheme="minorHAnsi" w:hAnsiTheme="minorHAnsi" w:cs="Arial"/>
          <w:color w:val="030303"/>
          <w:position w:val="17"/>
          <w:sz w:val="20"/>
          <w:szCs w:val="20"/>
        </w:rPr>
        <w:t xml:space="preserve">The Government has announced that doctors who offer their support in delivering the </w:t>
      </w:r>
      <w:hyperlink r:id="rId35" w:history="1">
        <w:r w:rsidRPr="004E0EFE">
          <w:rPr>
            <w:rStyle w:val="Hyperlink"/>
            <w:rFonts w:asciiTheme="minorHAnsi" w:hAnsiTheme="minorHAnsi" w:cs="Arial"/>
            <w:color w:val="005EB8"/>
            <w:position w:val="17"/>
            <w:sz w:val="20"/>
            <w:szCs w:val="20"/>
          </w:rPr>
          <w:t>Enhanced Service</w:t>
        </w:r>
      </w:hyperlink>
      <w:r w:rsidRPr="004E0EFE">
        <w:rPr>
          <w:rFonts w:asciiTheme="minorHAnsi" w:hAnsiTheme="minorHAnsi" w:cs="Arial"/>
          <w:color w:val="030303"/>
          <w:position w:val="17"/>
          <w:sz w:val="20"/>
          <w:szCs w:val="20"/>
        </w:rPr>
        <w:t xml:space="preserve"> (ES) Specification COVID vaccination programme in primary care settings will be exempt from the requirement to be included on the England Medical Performers List. </w:t>
      </w:r>
      <w:hyperlink r:id="rId36" w:history="1">
        <w:r w:rsidRPr="004E0EFE">
          <w:rPr>
            <w:rStyle w:val="Hyperlink"/>
            <w:rFonts w:asciiTheme="minorHAnsi" w:hAnsiTheme="minorHAnsi" w:cs="Arial"/>
            <w:color w:val="005EB8"/>
            <w:position w:val="17"/>
            <w:sz w:val="20"/>
            <w:szCs w:val="20"/>
          </w:rPr>
          <w:t>The Regulations</w:t>
        </w:r>
      </w:hyperlink>
      <w:r w:rsidRPr="004E0EFE">
        <w:rPr>
          <w:rFonts w:asciiTheme="minorHAnsi" w:hAnsiTheme="minorHAnsi" w:cs="Arial"/>
          <w:color w:val="030303"/>
          <w:position w:val="17"/>
          <w:sz w:val="20"/>
          <w:szCs w:val="20"/>
        </w:rPr>
        <w:t>, which come into force today (14 January), remove previous barriers and mean that any GMC registered doctor will be able to administer the vaccine and any ancillary vaccine services under the ES Specification in a primary care setting. We welcome this change in legislation which will support the rapid roll out of the vaccine, allowing more doctors to administer more COVID vaccines.</w:t>
      </w:r>
    </w:p>
    <w:p w14:paraId="68AC2650" w14:textId="77777777" w:rsidR="008B5226" w:rsidRPr="004E0EFE"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4E0EFE">
        <w:rPr>
          <w:rFonts w:asciiTheme="minorHAnsi" w:hAnsiTheme="minorHAnsi" w:cs="Arial"/>
          <w:color w:val="030303"/>
          <w:position w:val="17"/>
          <w:sz w:val="20"/>
          <w:szCs w:val="20"/>
        </w:rPr>
        <w:t xml:space="preserve">The change in legislation supports providers in the delivery of the COVID vaccination programme whilst retaining appropriate safeguards for patients. Providers are therefore reminded of their existing obligations to ensure staff have the qualifications, competence, </w:t>
      </w:r>
      <w:proofErr w:type="gramStart"/>
      <w:r w:rsidRPr="004E0EFE">
        <w:rPr>
          <w:rFonts w:asciiTheme="minorHAnsi" w:hAnsiTheme="minorHAnsi" w:cs="Arial"/>
          <w:color w:val="030303"/>
          <w:position w:val="17"/>
          <w:sz w:val="20"/>
          <w:szCs w:val="20"/>
        </w:rPr>
        <w:t>skills</w:t>
      </w:r>
      <w:proofErr w:type="gramEnd"/>
      <w:r w:rsidRPr="004E0EFE">
        <w:rPr>
          <w:rFonts w:asciiTheme="minorHAnsi" w:hAnsiTheme="minorHAnsi" w:cs="Arial"/>
          <w:color w:val="030303"/>
          <w:position w:val="17"/>
          <w:sz w:val="20"/>
          <w:szCs w:val="20"/>
        </w:rPr>
        <w:t xml:space="preserve"> and experience to deliver safe care under the Health and Social Care Act 2008.</w:t>
      </w:r>
    </w:p>
    <w:p w14:paraId="2F46C86B" w14:textId="77777777" w:rsidR="008B5226" w:rsidRPr="004E0EFE"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4E0EFE">
        <w:rPr>
          <w:rFonts w:asciiTheme="minorHAnsi" w:hAnsiTheme="minorHAnsi" w:cs="Arial"/>
          <w:color w:val="030303"/>
          <w:position w:val="17"/>
          <w:sz w:val="20"/>
          <w:szCs w:val="20"/>
        </w:rPr>
        <w:t xml:space="preserve">Providers will need to assure themselves that all staff fulfil the competency and training requirements set out in the </w:t>
      </w:r>
      <w:hyperlink r:id="rId37" w:history="1">
        <w:r w:rsidRPr="004E0EFE">
          <w:rPr>
            <w:rStyle w:val="Hyperlink"/>
            <w:rFonts w:asciiTheme="minorHAnsi" w:hAnsiTheme="minorHAnsi" w:cs="Arial"/>
            <w:color w:val="005EB8"/>
            <w:position w:val="17"/>
            <w:sz w:val="20"/>
            <w:szCs w:val="20"/>
          </w:rPr>
          <w:t>National Protocol for Covid-19 mRNA BNT162b2</w:t>
        </w:r>
      </w:hyperlink>
      <w:r w:rsidRPr="004E0EFE">
        <w:rPr>
          <w:rFonts w:asciiTheme="minorHAnsi" w:hAnsiTheme="minorHAnsi" w:cs="Arial"/>
          <w:color w:val="030303"/>
          <w:position w:val="17"/>
          <w:sz w:val="20"/>
          <w:szCs w:val="20"/>
        </w:rPr>
        <w:t xml:space="preserve"> (Pfizer/</w:t>
      </w:r>
      <w:proofErr w:type="spellStart"/>
      <w:r w:rsidRPr="004E0EFE">
        <w:rPr>
          <w:rFonts w:asciiTheme="minorHAnsi" w:hAnsiTheme="minorHAnsi" w:cs="Arial"/>
          <w:color w:val="030303"/>
          <w:position w:val="17"/>
          <w:sz w:val="20"/>
          <w:szCs w:val="20"/>
        </w:rPr>
        <w:t>BioNtech</w:t>
      </w:r>
      <w:proofErr w:type="spellEnd"/>
      <w:r w:rsidRPr="004E0EFE">
        <w:rPr>
          <w:rFonts w:asciiTheme="minorHAnsi" w:hAnsiTheme="minorHAnsi" w:cs="Arial"/>
          <w:color w:val="030303"/>
          <w:position w:val="17"/>
          <w:sz w:val="20"/>
          <w:szCs w:val="20"/>
        </w:rPr>
        <w:t>). Under the Protocol, the service provider/contractor is responsible for ensuring that persons are trained and competent to safely deliver the activity they are employed to provide.</w:t>
      </w:r>
    </w:p>
    <w:p w14:paraId="4983864A" w14:textId="77777777" w:rsidR="008B5226" w:rsidRPr="004E0EFE"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4E0EFE">
        <w:rPr>
          <w:rFonts w:asciiTheme="minorHAnsi" w:hAnsiTheme="minorHAnsi" w:cs="Arial"/>
          <w:color w:val="030303"/>
          <w:position w:val="17"/>
          <w:sz w:val="20"/>
          <w:szCs w:val="20"/>
        </w:rPr>
        <w:t>Any provider/contractor administering COVID-19 mRNA Vaccine BNT162b2 under this protocol must work strictly within the terms of this protocol and contractual arrangements with commissioners for the delivery of the national COVID-19 vaccination programm</w:t>
      </w:r>
      <w:r>
        <w:rPr>
          <w:rFonts w:asciiTheme="minorHAnsi" w:hAnsiTheme="minorHAnsi" w:cs="Arial"/>
          <w:color w:val="030303"/>
          <w:position w:val="17"/>
          <w:sz w:val="20"/>
          <w:szCs w:val="20"/>
        </w:rPr>
        <w:t>e.</w:t>
      </w:r>
    </w:p>
    <w:p w14:paraId="55C3A16B" w14:textId="77777777" w:rsidR="008B5226" w:rsidRDefault="008B5226" w:rsidP="008B522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Arial"/>
          <w:color w:val="030303"/>
          <w:position w:val="17"/>
          <w:sz w:val="20"/>
          <w:szCs w:val="20"/>
        </w:rPr>
      </w:pPr>
    </w:p>
    <w:p w14:paraId="0EA19A3C" w14:textId="00C85097" w:rsidR="008B5226" w:rsidRDefault="008B5226" w:rsidP="008B522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Arial"/>
          <w:color w:val="030303"/>
          <w:position w:val="17"/>
          <w:sz w:val="20"/>
          <w:szCs w:val="20"/>
        </w:rPr>
      </w:pPr>
      <w:r w:rsidRPr="004E0EFE">
        <w:rPr>
          <w:rFonts w:cs="Arial"/>
          <w:color w:val="030303"/>
          <w:position w:val="17"/>
          <w:sz w:val="20"/>
          <w:szCs w:val="20"/>
        </w:rPr>
        <w:t>Please note this exemption is limited to medical practitioners providing care in accordance with the ES Specification for COVID vaccinations only</w:t>
      </w:r>
      <w:r>
        <w:rPr>
          <w:rFonts w:cs="Arial"/>
          <w:color w:val="030303"/>
          <w:position w:val="17"/>
          <w:sz w:val="20"/>
          <w:szCs w:val="20"/>
        </w:rPr>
        <w:t>.</w:t>
      </w:r>
    </w:p>
    <w:p w14:paraId="19100E3D" w14:textId="0D3C8088" w:rsidR="008B5226" w:rsidRDefault="008B5226" w:rsidP="008B5226"/>
    <w:p w14:paraId="651BA67D" w14:textId="77777777" w:rsidR="008508A4" w:rsidRDefault="008508A4" w:rsidP="008B5226"/>
    <w:p w14:paraId="28094084" w14:textId="77777777" w:rsidR="008B5226"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textAlignment w:val="center"/>
        <w:rPr>
          <w:rFonts w:asciiTheme="minorHAnsi" w:hAnsiTheme="minorHAnsi" w:cs="Arial"/>
          <w:color w:val="030303"/>
          <w:position w:val="17"/>
          <w:sz w:val="22"/>
          <w:szCs w:val="22"/>
        </w:rPr>
      </w:pPr>
      <w:r>
        <w:rPr>
          <w:rStyle w:val="Strong"/>
          <w:rFonts w:asciiTheme="minorHAnsi" w:hAnsiTheme="minorHAnsi" w:cs="Arial"/>
          <w:color w:val="030303"/>
          <w:position w:val="17"/>
          <w:sz w:val="22"/>
          <w:szCs w:val="22"/>
        </w:rPr>
        <w:t>9.</w:t>
      </w:r>
      <w:r>
        <w:rPr>
          <w:rStyle w:val="Strong"/>
          <w:rFonts w:asciiTheme="minorHAnsi" w:hAnsiTheme="minorHAnsi" w:cs="Arial"/>
          <w:color w:val="030303"/>
          <w:position w:val="17"/>
          <w:sz w:val="22"/>
          <w:szCs w:val="22"/>
        </w:rPr>
        <w:tab/>
      </w:r>
      <w:bookmarkStart w:id="9" w:name="Mark_9"/>
      <w:r w:rsidRPr="00444333">
        <w:rPr>
          <w:rStyle w:val="Strong"/>
          <w:rFonts w:asciiTheme="minorHAnsi" w:hAnsiTheme="minorHAnsi" w:cs="Arial"/>
          <w:color w:val="030303"/>
          <w:position w:val="17"/>
          <w:sz w:val="22"/>
          <w:szCs w:val="22"/>
        </w:rPr>
        <w:t>Access to National Workforce Supply Routes for PCN</w:t>
      </w:r>
      <w:r>
        <w:rPr>
          <w:rStyle w:val="Strong"/>
          <w:rFonts w:asciiTheme="minorHAnsi" w:hAnsiTheme="minorHAnsi" w:cs="Arial"/>
          <w:color w:val="030303"/>
          <w:position w:val="17"/>
          <w:sz w:val="22"/>
          <w:szCs w:val="22"/>
        </w:rPr>
        <w:t>’s</w:t>
      </w:r>
      <w:r w:rsidRPr="00444333">
        <w:rPr>
          <w:rStyle w:val="Strong"/>
          <w:rFonts w:asciiTheme="minorHAnsi" w:hAnsiTheme="minorHAnsi" w:cs="Arial"/>
          <w:color w:val="030303"/>
          <w:position w:val="17"/>
          <w:sz w:val="22"/>
          <w:szCs w:val="22"/>
        </w:rPr>
        <w:t xml:space="preserve"> delivering the COVID-19 vaccine</w:t>
      </w:r>
    </w:p>
    <w:bookmarkEnd w:id="9"/>
    <w:p w14:paraId="05FCC82C" w14:textId="77777777" w:rsidR="008B5226"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textAlignment w:val="center"/>
        <w:rPr>
          <w:rFonts w:asciiTheme="minorHAnsi" w:hAnsiTheme="minorHAnsi" w:cs="Arial"/>
          <w:color w:val="030303"/>
          <w:position w:val="17"/>
          <w:sz w:val="22"/>
          <w:szCs w:val="22"/>
        </w:rPr>
      </w:pPr>
    </w:p>
    <w:p w14:paraId="57783DA7" w14:textId="17FEF236" w:rsidR="008B5226" w:rsidRPr="008B5226" w:rsidRDefault="008B5226" w:rsidP="008B5226">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2"/>
          <w:szCs w:val="22"/>
        </w:rPr>
      </w:pPr>
      <w:r>
        <w:rPr>
          <w:rFonts w:asciiTheme="minorHAnsi" w:hAnsiTheme="minorHAnsi" w:cs="Arial"/>
          <w:color w:val="030303"/>
          <w:position w:val="17"/>
          <w:sz w:val="20"/>
          <w:szCs w:val="20"/>
        </w:rPr>
        <w:t>NHSE</w:t>
      </w:r>
      <w:r w:rsidRPr="00444333">
        <w:rPr>
          <w:rFonts w:asciiTheme="minorHAnsi" w:hAnsiTheme="minorHAnsi" w:cs="Arial"/>
          <w:color w:val="030303"/>
          <w:position w:val="17"/>
          <w:sz w:val="20"/>
          <w:szCs w:val="20"/>
        </w:rPr>
        <w:t xml:space="preserve"> have </w:t>
      </w:r>
      <w:hyperlink r:id="rId38" w:history="1">
        <w:r w:rsidRPr="00444333">
          <w:rPr>
            <w:rStyle w:val="Hyperlink"/>
            <w:rFonts w:asciiTheme="minorHAnsi" w:hAnsiTheme="minorHAnsi" w:cs="Arial"/>
            <w:color w:val="005EB8"/>
            <w:position w:val="17"/>
            <w:sz w:val="20"/>
            <w:szCs w:val="20"/>
          </w:rPr>
          <w:t>published guidance</w:t>
        </w:r>
      </w:hyperlink>
      <w:r w:rsidRPr="00444333">
        <w:rPr>
          <w:rFonts w:asciiTheme="minorHAnsi" w:hAnsiTheme="minorHAnsi" w:cs="Arial"/>
          <w:color w:val="030303"/>
          <w:position w:val="17"/>
          <w:sz w:val="20"/>
          <w:szCs w:val="20"/>
        </w:rPr>
        <w:t xml:space="preserve"> for PCN Groupings regarding access to and onboarding of additional workforce and volunteer supply from the National Workforce Supply Routes. PCN groupings can access clinical and non-clinical workers and volunteers from organisations such as St. John Ambulance, NHS Volunteer Responders (delivered by Royal Voluntary Service) and NHS Professionals via local engagement and arrangements with Lead Employers </w:t>
      </w:r>
      <w:proofErr w:type="gramStart"/>
      <w:r w:rsidRPr="00444333">
        <w:rPr>
          <w:rFonts w:asciiTheme="minorHAnsi" w:hAnsiTheme="minorHAnsi" w:cs="Arial"/>
          <w:color w:val="030303"/>
          <w:position w:val="17"/>
          <w:sz w:val="20"/>
          <w:szCs w:val="20"/>
        </w:rPr>
        <w:t>in order to</w:t>
      </w:r>
      <w:proofErr w:type="gramEnd"/>
      <w:r w:rsidRPr="00444333">
        <w:rPr>
          <w:rFonts w:asciiTheme="minorHAnsi" w:hAnsiTheme="minorHAnsi" w:cs="Arial"/>
          <w:color w:val="030303"/>
          <w:position w:val="17"/>
          <w:sz w:val="20"/>
          <w:szCs w:val="20"/>
        </w:rPr>
        <w:t xml:space="preserve"> support the vaccination programme.</w:t>
      </w:r>
    </w:p>
    <w:p w14:paraId="5A73C325" w14:textId="77777777" w:rsidR="008B5226" w:rsidRPr="004E0EFE" w:rsidRDefault="008B5226" w:rsidP="008B5226">
      <w:pPr>
        <w:jc w:val="both"/>
        <w:rPr>
          <w:b/>
          <w:bCs/>
        </w:rPr>
      </w:pPr>
    </w:p>
    <w:p w14:paraId="6D31FB70" w14:textId="77777777" w:rsidR="00393829" w:rsidRDefault="00393829" w:rsidP="00F94F4F">
      <w:pPr>
        <w:jc w:val="both"/>
        <w:rPr>
          <w:b/>
          <w:bCs/>
          <w:color w:val="000000"/>
          <w:sz w:val="20"/>
          <w:szCs w:val="20"/>
        </w:rPr>
      </w:pPr>
    </w:p>
    <w:p w14:paraId="3FDBC6B4" w14:textId="6C0B8BA5" w:rsidR="00F94F4F" w:rsidRPr="002507C3" w:rsidRDefault="00393829" w:rsidP="0039382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color w:val="000000"/>
          <w:sz w:val="20"/>
          <w:szCs w:val="20"/>
        </w:rPr>
      </w:pPr>
      <w:r>
        <w:rPr>
          <w:b/>
          <w:bCs/>
          <w:color w:val="000000"/>
          <w:sz w:val="20"/>
          <w:szCs w:val="20"/>
        </w:rPr>
        <w:t>10.</w:t>
      </w:r>
      <w:r>
        <w:rPr>
          <w:b/>
          <w:bCs/>
          <w:color w:val="000000"/>
          <w:sz w:val="20"/>
          <w:szCs w:val="20"/>
        </w:rPr>
        <w:tab/>
      </w:r>
      <w:bookmarkStart w:id="10" w:name="Mark_10"/>
      <w:r w:rsidR="00F94F4F" w:rsidRPr="002507C3">
        <w:rPr>
          <w:b/>
          <w:bCs/>
          <w:color w:val="000000"/>
          <w:sz w:val="20"/>
          <w:szCs w:val="20"/>
        </w:rPr>
        <w:t>BMA guidance on COVID-19 vaccination</w:t>
      </w:r>
      <w:bookmarkEnd w:id="10"/>
    </w:p>
    <w:p w14:paraId="1AFF3B3E" w14:textId="2A9EC701" w:rsidR="00531D80" w:rsidRPr="008B5226" w:rsidRDefault="00F94F4F" w:rsidP="008B522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36CAB">
        <w:rPr>
          <w:color w:val="000000"/>
          <w:sz w:val="20"/>
          <w:szCs w:val="20"/>
        </w:rPr>
        <w:t xml:space="preserve">The </w:t>
      </w:r>
      <w:hyperlink r:id="rId39" w:history="1">
        <w:r w:rsidRPr="00736CAB">
          <w:rPr>
            <w:rStyle w:val="Hyperlink"/>
            <w:sz w:val="20"/>
            <w:szCs w:val="20"/>
          </w:rPr>
          <w:t>BMA’s guidance on the COVID-19 vaccination</w:t>
        </w:r>
      </w:hyperlink>
      <w:r w:rsidRPr="00736CAB">
        <w:rPr>
          <w:color w:val="000000"/>
          <w:sz w:val="20"/>
          <w:szCs w:val="20"/>
        </w:rPr>
        <w:t xml:space="preserve"> programme has been updated to include the national protocols for both vaccines, the updated joint document on workload prioritisation, funding to support rapid care home vaccination, in addition to the other recent information about how access to vaccines for all frontline health and social care workers, and further support to enable practices to prioritise vaccine delivery. </w:t>
      </w:r>
    </w:p>
    <w:p w14:paraId="5CD1DDBD" w14:textId="77777777" w:rsidR="00531D80" w:rsidRPr="008D3F6E" w:rsidRDefault="00531D80" w:rsidP="00AF1DEC"/>
    <w:p w14:paraId="6035EB27"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us  </w:t>
      </w:r>
    </w:p>
    <w:p w14:paraId="0F8B2085" w14:textId="4106E8B9" w:rsidR="00AF1DEC" w:rsidRDefault="00AF1DEC" w:rsidP="00AF1DEC">
      <w:pPr>
        <w:rPr>
          <w:b/>
          <w:bCs/>
          <w:u w:val="single"/>
        </w:rPr>
      </w:pPr>
    </w:p>
    <w:p w14:paraId="02BC6FF7" w14:textId="0C7B9BB8" w:rsidR="0028528B" w:rsidRPr="00327E09" w:rsidRDefault="00AF1DEC" w:rsidP="00327E0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40" w:history="1">
        <w:r w:rsidRPr="00B42CEB">
          <w:rPr>
            <w:rStyle w:val="Hyperlink"/>
            <w:b/>
            <w:bCs/>
            <w:u w:val="none"/>
          </w:rPr>
          <w:t>birmingham.lmc@nhs.net</w:t>
        </w:r>
      </w:hyperlink>
    </w:p>
    <w:p w14:paraId="2855B6AD" w14:textId="77777777" w:rsidR="0028528B" w:rsidRDefault="0028528B" w:rsidP="00AF1DEC"/>
    <w:p w14:paraId="1088FA9D"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720324B6" w14:textId="77777777" w:rsidR="00AF1DEC" w:rsidRPr="00AB0284"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b/>
          <w:bCs/>
          <w:u w:val="single"/>
        </w:rPr>
      </w:pPr>
    </w:p>
    <w:p w14:paraId="7DA4457C"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41"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220AB17E"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0F47E39A"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42"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53F34098"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lang w:eastAsia="en-GB"/>
        </w:rPr>
      </w:pPr>
    </w:p>
    <w:p w14:paraId="3601E328" w14:textId="77777777" w:rsidR="00AF1DEC"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rStyle w:val="Hyperlink"/>
        </w:rPr>
      </w:pPr>
      <w:r w:rsidRPr="00797412">
        <w:rPr>
          <w:b/>
          <w:bCs/>
        </w:rPr>
        <w:t>NHS ENGLAND:</w:t>
      </w:r>
      <w:r w:rsidRPr="00797412">
        <w:t xml:space="preserve"> </w:t>
      </w:r>
      <w:hyperlink r:id="rId43" w:history="1">
        <w:r w:rsidRPr="00797412">
          <w:rPr>
            <w:rStyle w:val="Hyperlink"/>
          </w:rPr>
          <w:t>https://www.england.nhs.uk/publication/implementing-phase-3-of-the-nhs-response-to-the-covid-19-pandemic/</w:t>
        </w:r>
      </w:hyperlink>
    </w:p>
    <w:p w14:paraId="25AB9674" w14:textId="77777777" w:rsidR="00FE1174" w:rsidRPr="00FE1174" w:rsidRDefault="00FE1174" w:rsidP="00FE1174"/>
    <w:sectPr w:rsidR="00FE1174" w:rsidRPr="00FE1174" w:rsidSect="00393829">
      <w:headerReference w:type="default" r:id="rId44"/>
      <w:footerReference w:type="default" r:id="rId4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C1C3" w14:textId="77777777" w:rsidR="00A931FF" w:rsidRDefault="00A931FF" w:rsidP="001B4E81">
      <w:pPr>
        <w:spacing w:after="0" w:line="240" w:lineRule="auto"/>
      </w:pPr>
      <w:r>
        <w:separator/>
      </w:r>
    </w:p>
  </w:endnote>
  <w:endnote w:type="continuationSeparator" w:id="0">
    <w:p w14:paraId="5788005D" w14:textId="77777777" w:rsidR="00A931FF" w:rsidRDefault="00A931FF"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B593" w14:textId="754BD40A" w:rsidR="00424321" w:rsidRPr="00AF1DEC" w:rsidRDefault="00AF1DEC" w:rsidP="00AF1DEC">
    <w:pPr>
      <w:pStyle w:val="Footer"/>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05789" w14:textId="77777777" w:rsidR="00A931FF" w:rsidRDefault="00A931FF" w:rsidP="001B4E81">
      <w:pPr>
        <w:spacing w:after="0" w:line="240" w:lineRule="auto"/>
      </w:pPr>
      <w:r>
        <w:separator/>
      </w:r>
    </w:p>
  </w:footnote>
  <w:footnote w:type="continuationSeparator" w:id="0">
    <w:p w14:paraId="6B251877" w14:textId="77777777" w:rsidR="00A931FF" w:rsidRDefault="00A931FF"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B6"/>
    <w:multiLevelType w:val="hybridMultilevel"/>
    <w:tmpl w:val="E28E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247EF"/>
    <w:multiLevelType w:val="hybridMultilevel"/>
    <w:tmpl w:val="2AD0B424"/>
    <w:lvl w:ilvl="0" w:tplc="4746AF00">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A2D8D"/>
    <w:multiLevelType w:val="hybridMultilevel"/>
    <w:tmpl w:val="38A68412"/>
    <w:lvl w:ilvl="0" w:tplc="741852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13B7A"/>
    <w:multiLevelType w:val="hybridMultilevel"/>
    <w:tmpl w:val="8D00D01C"/>
    <w:lvl w:ilvl="0" w:tplc="2646B20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F1B"/>
    <w:multiLevelType w:val="hybridMultilevel"/>
    <w:tmpl w:val="3482E350"/>
    <w:lvl w:ilvl="0" w:tplc="0242F58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165568"/>
    <w:multiLevelType w:val="hybridMultilevel"/>
    <w:tmpl w:val="88F6AADE"/>
    <w:lvl w:ilvl="0" w:tplc="B734CF98">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57BB2"/>
    <w:multiLevelType w:val="hybridMultilevel"/>
    <w:tmpl w:val="5E0E9606"/>
    <w:lvl w:ilvl="0" w:tplc="F9001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85990"/>
    <w:multiLevelType w:val="hybridMultilevel"/>
    <w:tmpl w:val="D610D2AA"/>
    <w:lvl w:ilvl="0" w:tplc="14CC3788">
      <w:start w:val="1"/>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D57F4"/>
    <w:multiLevelType w:val="hybridMultilevel"/>
    <w:tmpl w:val="BC521E22"/>
    <w:lvl w:ilvl="0" w:tplc="CD78274A">
      <w:start w:val="1"/>
      <w:numFmt w:val="decimal"/>
      <w:lvlText w:val="%1."/>
      <w:lvlJc w:val="left"/>
      <w:pPr>
        <w:ind w:left="720" w:hanging="360"/>
      </w:pPr>
      <w:rPr>
        <w:rFonts w:cstheme="minorHAnsi" w:hint="default"/>
        <w:b/>
        <w:color w:val="2020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D2352"/>
    <w:multiLevelType w:val="hybridMultilevel"/>
    <w:tmpl w:val="821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7F21FC"/>
    <w:multiLevelType w:val="hybridMultilevel"/>
    <w:tmpl w:val="FB62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7"/>
  </w:num>
  <w:num w:numId="4">
    <w:abstractNumId w:val="7"/>
  </w:num>
  <w:num w:numId="5">
    <w:abstractNumId w:val="15"/>
  </w:num>
  <w:num w:numId="6">
    <w:abstractNumId w:val="1"/>
  </w:num>
  <w:num w:numId="7">
    <w:abstractNumId w:val="12"/>
  </w:num>
  <w:num w:numId="8">
    <w:abstractNumId w:val="16"/>
  </w:num>
  <w:num w:numId="9">
    <w:abstractNumId w:val="8"/>
  </w:num>
  <w:num w:numId="10">
    <w:abstractNumId w:val="20"/>
  </w:num>
  <w:num w:numId="11">
    <w:abstractNumId w:val="14"/>
  </w:num>
  <w:num w:numId="12">
    <w:abstractNumId w:val="18"/>
  </w:num>
  <w:num w:numId="13">
    <w:abstractNumId w:val="19"/>
  </w:num>
  <w:num w:numId="14">
    <w:abstractNumId w:val="10"/>
  </w:num>
  <w:num w:numId="15">
    <w:abstractNumId w:val="0"/>
  </w:num>
  <w:num w:numId="16">
    <w:abstractNumId w:val="2"/>
  </w:num>
  <w:num w:numId="17">
    <w:abstractNumId w:val="9"/>
  </w:num>
  <w:num w:numId="18">
    <w:abstractNumId w:val="3"/>
  </w:num>
  <w:num w:numId="19">
    <w:abstractNumId w:val="11"/>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7C"/>
    <w:rsid w:val="00010C70"/>
    <w:rsid w:val="000525F3"/>
    <w:rsid w:val="00090C38"/>
    <w:rsid w:val="000B48EB"/>
    <w:rsid w:val="000C2FD6"/>
    <w:rsid w:val="000F0353"/>
    <w:rsid w:val="000F7B3E"/>
    <w:rsid w:val="0012701E"/>
    <w:rsid w:val="0014236A"/>
    <w:rsid w:val="00177EAB"/>
    <w:rsid w:val="00185027"/>
    <w:rsid w:val="001B002E"/>
    <w:rsid w:val="001B4E81"/>
    <w:rsid w:val="001E09D1"/>
    <w:rsid w:val="001F50DA"/>
    <w:rsid w:val="00222F72"/>
    <w:rsid w:val="00236B39"/>
    <w:rsid w:val="002507C3"/>
    <w:rsid w:val="00257079"/>
    <w:rsid w:val="00267854"/>
    <w:rsid w:val="0027009C"/>
    <w:rsid w:val="0028528B"/>
    <w:rsid w:val="002B0CD6"/>
    <w:rsid w:val="00322467"/>
    <w:rsid w:val="00327E09"/>
    <w:rsid w:val="00327F6D"/>
    <w:rsid w:val="003307E4"/>
    <w:rsid w:val="00334058"/>
    <w:rsid w:val="003731E2"/>
    <w:rsid w:val="00393829"/>
    <w:rsid w:val="00394044"/>
    <w:rsid w:val="003A2046"/>
    <w:rsid w:val="0042361F"/>
    <w:rsid w:val="00424321"/>
    <w:rsid w:val="004473AE"/>
    <w:rsid w:val="004525D2"/>
    <w:rsid w:val="00471CFB"/>
    <w:rsid w:val="004B5D50"/>
    <w:rsid w:val="004F02FF"/>
    <w:rsid w:val="004F7CC6"/>
    <w:rsid w:val="00531D80"/>
    <w:rsid w:val="00552E3F"/>
    <w:rsid w:val="0056264F"/>
    <w:rsid w:val="00584AE9"/>
    <w:rsid w:val="00594272"/>
    <w:rsid w:val="005F5155"/>
    <w:rsid w:val="00615375"/>
    <w:rsid w:val="00654AA4"/>
    <w:rsid w:val="00695059"/>
    <w:rsid w:val="006D030D"/>
    <w:rsid w:val="006D0B43"/>
    <w:rsid w:val="006D4E3F"/>
    <w:rsid w:val="006D742B"/>
    <w:rsid w:val="0076655F"/>
    <w:rsid w:val="0078159D"/>
    <w:rsid w:val="007F2282"/>
    <w:rsid w:val="007F5F4E"/>
    <w:rsid w:val="007F7396"/>
    <w:rsid w:val="00816E1F"/>
    <w:rsid w:val="00825276"/>
    <w:rsid w:val="0083104F"/>
    <w:rsid w:val="008508A4"/>
    <w:rsid w:val="00875A27"/>
    <w:rsid w:val="008855B8"/>
    <w:rsid w:val="008B5226"/>
    <w:rsid w:val="008C56EA"/>
    <w:rsid w:val="008D0A2E"/>
    <w:rsid w:val="008E369B"/>
    <w:rsid w:val="00906C87"/>
    <w:rsid w:val="00933287"/>
    <w:rsid w:val="0097290E"/>
    <w:rsid w:val="0098382C"/>
    <w:rsid w:val="0098389F"/>
    <w:rsid w:val="009A094B"/>
    <w:rsid w:val="009C67A9"/>
    <w:rsid w:val="009C6938"/>
    <w:rsid w:val="009D2E7D"/>
    <w:rsid w:val="009E4658"/>
    <w:rsid w:val="00A15186"/>
    <w:rsid w:val="00A40FF9"/>
    <w:rsid w:val="00A552F2"/>
    <w:rsid w:val="00A7150C"/>
    <w:rsid w:val="00A931FF"/>
    <w:rsid w:val="00AD0E2F"/>
    <w:rsid w:val="00AF1DEC"/>
    <w:rsid w:val="00B561F1"/>
    <w:rsid w:val="00BA4459"/>
    <w:rsid w:val="00BC4341"/>
    <w:rsid w:val="00C3130E"/>
    <w:rsid w:val="00C41F18"/>
    <w:rsid w:val="00C638FA"/>
    <w:rsid w:val="00C77C64"/>
    <w:rsid w:val="00C8624E"/>
    <w:rsid w:val="00C86677"/>
    <w:rsid w:val="00C93DBF"/>
    <w:rsid w:val="00CF4366"/>
    <w:rsid w:val="00CF6C14"/>
    <w:rsid w:val="00D4646D"/>
    <w:rsid w:val="00D72E12"/>
    <w:rsid w:val="00D7308E"/>
    <w:rsid w:val="00DA4ACC"/>
    <w:rsid w:val="00DB088B"/>
    <w:rsid w:val="00DB196B"/>
    <w:rsid w:val="00DE7457"/>
    <w:rsid w:val="00DF0C23"/>
    <w:rsid w:val="00E1257D"/>
    <w:rsid w:val="00E1676C"/>
    <w:rsid w:val="00E25DBD"/>
    <w:rsid w:val="00E40AC3"/>
    <w:rsid w:val="00E62758"/>
    <w:rsid w:val="00E8766D"/>
    <w:rsid w:val="00EE6841"/>
    <w:rsid w:val="00EE6876"/>
    <w:rsid w:val="00F20872"/>
    <w:rsid w:val="00F537D1"/>
    <w:rsid w:val="00F727DA"/>
    <w:rsid w:val="00F94F4F"/>
    <w:rsid w:val="00FC16A8"/>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AF1DE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47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7B3E"/>
    <w:pPr>
      <w:spacing w:after="0" w:line="240" w:lineRule="auto"/>
    </w:pPr>
    <w:rPr>
      <w:rFonts w:ascii="Calibri" w:hAnsi="Calibri" w:cs="Times New Roman"/>
    </w:rPr>
  </w:style>
  <w:style w:type="paragraph" w:customStyle="1" w:styleId="xmsonormal">
    <w:name w:val="xmsonormal"/>
    <w:basedOn w:val="Normal"/>
    <w:rsid w:val="00906C87"/>
    <w:pPr>
      <w:spacing w:after="0" w:line="240" w:lineRule="auto"/>
    </w:pPr>
    <w:rPr>
      <w:rFonts w:ascii="Calibri" w:hAnsi="Calibri" w:cs="Times New Roman"/>
      <w:lang w:eastAsia="en-GB"/>
    </w:rPr>
  </w:style>
  <w:style w:type="character" w:styleId="Strong">
    <w:name w:val="Strong"/>
    <w:basedOn w:val="DefaultParagraphFont"/>
    <w:uiPriority w:val="22"/>
    <w:qFormat/>
    <w:rsid w:val="0039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781729">
      <w:bodyDiv w:val="1"/>
      <w:marLeft w:val="0"/>
      <w:marRight w:val="0"/>
      <w:marTop w:val="0"/>
      <w:marBottom w:val="0"/>
      <w:divBdr>
        <w:top w:val="none" w:sz="0" w:space="0" w:color="auto"/>
        <w:left w:val="none" w:sz="0" w:space="0" w:color="auto"/>
        <w:bottom w:val="none" w:sz="0" w:space="0" w:color="auto"/>
        <w:right w:val="none" w:sz="0" w:space="0" w:color="auto"/>
      </w:divBdr>
    </w:div>
    <w:div w:id="569582925">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7003969">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600987787">
      <w:bodyDiv w:val="1"/>
      <w:marLeft w:val="0"/>
      <w:marRight w:val="0"/>
      <w:marTop w:val="0"/>
      <w:marBottom w:val="0"/>
      <w:divBdr>
        <w:top w:val="none" w:sz="0" w:space="0" w:color="auto"/>
        <w:left w:val="none" w:sz="0" w:space="0" w:color="auto"/>
        <w:bottom w:val="none" w:sz="0" w:space="0" w:color="auto"/>
        <w:right w:val="none" w:sz="0" w:space="0" w:color="auto"/>
      </w:divBdr>
    </w:div>
    <w:div w:id="1707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coronavirus/wp-content/uploads/sites/52/2021/01/C1039-letter-instruction-on-timing-of-second-dose-of-covid-19-vaccinations-11-jan-21.pdf" TargetMode="External"/><Relationship Id="rId18" Type="http://schemas.openxmlformats.org/officeDocument/2006/relationships/hyperlink" Target="https://assets.publishing.service.gov.uk/government/uploads/system/uploads/attachment_data/file/948338/jcvi-advice-on-priority-groups-for-covid-19-vaccination-30-dec-2020.pdf" TargetMode="External"/><Relationship Id="rId26" Type="http://schemas.openxmlformats.org/officeDocument/2006/relationships/hyperlink" Target="https://www.england.nhs.uk/coronavirus/wp-content/uploads/sites/52/2020/03/C1026_Freeing-up-GP-practices-letter_070121.pdf" TargetMode="External"/><Relationship Id="rId39" Type="http://schemas.openxmlformats.org/officeDocument/2006/relationships/hyperlink" Target="https://www.bma.org.uk/advice-and-support/covid-19/gp-practices/covid-19-vaccination-programme" TargetMode="External"/><Relationship Id="rId21" Type="http://schemas.openxmlformats.org/officeDocument/2006/relationships/hyperlink" Target="https://my.drdoctor.co.uk/clinic/GoodHopeHospital" TargetMode="External"/><Relationship Id="rId34" Type="http://schemas.openxmlformats.org/officeDocument/2006/relationships/hyperlink" Target="https://www.bma.org.uk/advice-and-support/covid-19/gp-practices/covid-19-toolkit-for-gps-and-gp-practices/protecting-clinically-extremely-vulnerable-cev-patients-formerly-shielding" TargetMode="External"/><Relationship Id="rId42" Type="http://schemas.openxmlformats.org/officeDocument/2006/relationships/hyperlink" Target="https://www.gov.uk/coronaviru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51189/COVID-19_vaccine_surveillance_strategy.pdf" TargetMode="External"/><Relationship Id="rId29" Type="http://schemas.openxmlformats.org/officeDocument/2006/relationships/hyperlink" Target="https://www.bma.org.uk/news-and-opinion/call-for-enhanced-p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protocol-for-covid-19-mrna-vaccine-bnt162b2-pfizerbiontech" TargetMode="External"/><Relationship Id="rId24" Type="http://schemas.openxmlformats.org/officeDocument/2006/relationships/hyperlink" Target="mailto:CovidVaccine@uhb.nhs.uk" TargetMode="External"/><Relationship Id="rId32" Type="http://schemas.openxmlformats.org/officeDocument/2006/relationships/hyperlink" Target="https://www.gov.uk/government/news/at-risk-groups-to-receive-free-winter-supply-of-vitamin-d" TargetMode="External"/><Relationship Id="rId37" Type="http://schemas.openxmlformats.org/officeDocument/2006/relationships/hyperlink" Target="https://generalpracticebulletin.cmail20.com/t/d-l-cuitrdd-tluhhdhyld-d/" TargetMode="External"/><Relationship Id="rId40" Type="http://schemas.openxmlformats.org/officeDocument/2006/relationships/hyperlink" Target="mailto:birmingham.lmc@nhs.net"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uk-covid-19-vaccines-delivery-plan" TargetMode="External"/><Relationship Id="rId23" Type="http://schemas.openxmlformats.org/officeDocument/2006/relationships/hyperlink" Target="https://my.drdoctor.co.uk/clinic/rohvaccinationclinic" TargetMode="External"/><Relationship Id="rId28" Type="http://schemas.openxmlformats.org/officeDocument/2006/relationships/hyperlink" Target="https://nhs-ppe.co.uk/customer/authentication" TargetMode="External"/><Relationship Id="rId36" Type="http://schemas.openxmlformats.org/officeDocument/2006/relationships/hyperlink" Target="https://generalpracticebulletin.cmail20.com/t/d-l-cuitrdd-tluhhdhyld-i/" TargetMode="External"/><Relationship Id="rId10" Type="http://schemas.openxmlformats.org/officeDocument/2006/relationships/endnotes" Target="endnotes.xml"/><Relationship Id="rId19" Type="http://schemas.openxmlformats.org/officeDocument/2006/relationships/hyperlink" Target="https://my.drdoctor.co.uk/clinic/QEHITMa" TargetMode="External"/><Relationship Id="rId31" Type="http://schemas.openxmlformats.org/officeDocument/2006/relationships/hyperlink" Target="https://www.gov.uk/government/publications/covid-19-letters-to-clinically-extremely-vulnerable-peopl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omrc.org.uk/statements/covid-19-vaccination-and-second-doses-academy-statement/" TargetMode="External"/><Relationship Id="rId22" Type="http://schemas.openxmlformats.org/officeDocument/2006/relationships/hyperlink" Target="https://my.drdoctor.co.uk/clinic/BWCH" TargetMode="External"/><Relationship Id="rId27" Type="http://schemas.openxmlformats.org/officeDocument/2006/relationships/hyperlink" Target="https://www.gov.uk/guidance/ppe-portal-how-to-order-covid-19-personal-protective-equipment" TargetMode="External"/><Relationship Id="rId30" Type="http://schemas.openxmlformats.org/officeDocument/2006/relationships/hyperlink" Target="https://www.england.nhs.uk/coronavirus/publication/pulse-oximetry-to-detect-early-deterioration-of-patients-with-covid-19-in-primary-and-community-care-settings/" TargetMode="External"/><Relationship Id="rId35" Type="http://schemas.openxmlformats.org/officeDocument/2006/relationships/hyperlink" Target="https://generalpracticebulletin.cmail20.com/t/d-l-cuitrdd-tluhhdhyld-t/" TargetMode="External"/><Relationship Id="rId43" Type="http://schemas.openxmlformats.org/officeDocument/2006/relationships/hyperlink" Target="https://www.england.nhs.uk/publication/implementing-phase-3-of-the-nhs-response-to-the-covid-19-pandemi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national-protocol-for-covid-19-vaccine-astrazeneca-chadox1-s-recombinant" TargetMode="External"/><Relationship Id="rId17" Type="http://schemas.openxmlformats.org/officeDocument/2006/relationships/hyperlink" Target="https://www.bma.org.uk/news-and-opinion/vaccinate-frontline-staff-within-two-weeks-demands-bma" TargetMode="External"/><Relationship Id="rId25" Type="http://schemas.openxmlformats.org/officeDocument/2006/relationships/hyperlink" Target="https://www.bma.org.uk/media/3654/bma-rcgp-covid-workload-prioritisation-nov-2020.pdf?la=en" TargetMode="External"/><Relationship Id="rId33" Type="http://schemas.openxmlformats.org/officeDocument/2006/relationships/hyperlink" Target="https://www.gov.uk/government/publications/guidance-on-shielding-and-protecting-extremely-vulnerable-persons-from-covid-19" TargetMode="External"/><Relationship Id="rId38" Type="http://schemas.openxmlformats.org/officeDocument/2006/relationships/hyperlink" Target="https://generalpracticebulletin.cmail20.com/t/d-l-cuitrdd-tluhhdhyld-h/" TargetMode="External"/><Relationship Id="rId46" Type="http://schemas.openxmlformats.org/officeDocument/2006/relationships/fontTable" Target="fontTable.xml"/><Relationship Id="rId20" Type="http://schemas.openxmlformats.org/officeDocument/2006/relationships/hyperlink" Target="https://my.drdoctor.co.uk/clinic/Heartlands1603" TargetMode="External"/><Relationship Id="rId41" Type="http://schemas.openxmlformats.org/officeDocument/2006/relationships/hyperlink" Target="https://www.bma.org.uk/advice-and-support/covid-19/gp-practices/covid-19-toolkit-for-gps-and-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6</cp:revision>
  <dcterms:created xsi:type="dcterms:W3CDTF">2021-01-07T15:06:00Z</dcterms:created>
  <dcterms:modified xsi:type="dcterms:W3CDTF">2021-01-19T15:37:00Z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