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A05BB" w14:textId="10AE3554" w:rsidR="00FD2F1F" w:rsidRDefault="001B4E81" w:rsidP="002169EC">
      <w:pPr>
        <w:spacing w:after="0"/>
      </w:pPr>
      <w:bookmarkStart w:id="0" w:name="_top"/>
      <w:bookmarkEnd w:id="0"/>
      <w:r>
        <w:rPr>
          <w:noProof/>
        </w:rPr>
        <mc:AlternateContent>
          <mc:Choice Requires="wps">
            <w:drawing>
              <wp:anchor distT="91440" distB="91440" distL="114300" distR="114300" simplePos="0" relativeHeight="251659264" behindDoc="0" locked="0" layoutInCell="1" allowOverlap="1" wp14:anchorId="067BC79F" wp14:editId="5E085179">
                <wp:simplePos x="0" y="0"/>
                <wp:positionH relativeFrom="page">
                  <wp:posOffset>946150</wp:posOffset>
                </wp:positionH>
                <wp:positionV relativeFrom="paragraph">
                  <wp:posOffset>220980</wp:posOffset>
                </wp:positionV>
                <wp:extent cx="5492750" cy="736600"/>
                <wp:effectExtent l="0" t="0" r="0" b="63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736600"/>
                        </a:xfrm>
                        <a:prstGeom prst="rect">
                          <a:avLst/>
                        </a:prstGeom>
                        <a:noFill/>
                        <a:ln w="9525">
                          <a:noFill/>
                          <a:miter lim="800000"/>
                          <a:headEnd/>
                          <a:tailEnd/>
                        </a:ln>
                      </wps:spPr>
                      <wps:txbx>
                        <w:txbxContent>
                          <w:p w14:paraId="2E6CEEA0" w14:textId="7A06A882" w:rsidR="001B4E81" w:rsidRPr="00267854" w:rsidRDefault="001B4E81">
                            <w:pPr>
                              <w:pBdr>
                                <w:top w:val="single" w:sz="24" w:space="8" w:color="4472C4" w:themeColor="accent1"/>
                                <w:bottom w:val="single" w:sz="24" w:space="8" w:color="4472C4" w:themeColor="accent1"/>
                              </w:pBdr>
                              <w:spacing w:after="0"/>
                              <w:rPr>
                                <w:b/>
                                <w:bCs/>
                                <w:i/>
                                <w:iCs/>
                                <w:color w:val="4472C4" w:themeColor="accent1"/>
                                <w:sz w:val="44"/>
                                <w:szCs w:val="44"/>
                              </w:rPr>
                            </w:pPr>
                            <w:r w:rsidRPr="00267854">
                              <w:rPr>
                                <w:b/>
                                <w:bCs/>
                                <w:i/>
                                <w:iCs/>
                                <w:color w:val="4472C4" w:themeColor="accent1"/>
                                <w:sz w:val="44"/>
                                <w:szCs w:val="44"/>
                              </w:rPr>
                              <w:t>WEEKLY NEWSLETTER –</w:t>
                            </w:r>
                            <w:r w:rsidR="00D8496B">
                              <w:rPr>
                                <w:b/>
                                <w:bCs/>
                                <w:i/>
                                <w:iCs/>
                                <w:color w:val="4472C4" w:themeColor="accent1"/>
                                <w:sz w:val="44"/>
                                <w:szCs w:val="44"/>
                              </w:rPr>
                              <w:t>21</w:t>
                            </w:r>
                            <w:r w:rsidR="00D8496B">
                              <w:rPr>
                                <w:b/>
                                <w:bCs/>
                                <w:i/>
                                <w:iCs/>
                                <w:color w:val="4472C4" w:themeColor="accent1"/>
                                <w:sz w:val="44"/>
                                <w:szCs w:val="44"/>
                                <w:vertAlign w:val="superscript"/>
                              </w:rPr>
                              <w:t>st</w:t>
                            </w:r>
                            <w:r w:rsidR="008E6C7C">
                              <w:rPr>
                                <w:b/>
                                <w:bCs/>
                                <w:i/>
                                <w:iCs/>
                                <w:color w:val="4472C4" w:themeColor="accent1"/>
                                <w:sz w:val="44"/>
                                <w:szCs w:val="44"/>
                              </w:rPr>
                              <w:t xml:space="preserve"> January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7BC79F" id="_x0000_t202" coordsize="21600,21600" o:spt="202" path="m,l,21600r21600,l21600,xe">
                <v:stroke joinstyle="miter"/>
                <v:path gradientshapeok="t" o:connecttype="rect"/>
              </v:shapetype>
              <v:shape id="Text Box 2" o:spid="_x0000_s1026" type="#_x0000_t202" style="position:absolute;margin-left:74.5pt;margin-top:17.4pt;width:432.5pt;height:58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" filled="f" stroked="f">
                <v:textbox>
                  <w:txbxContent>
                    <w:p w14:paraId="2E6CEEA0" w14:textId="7A06A882" w:rsidR="001B4E81" w:rsidRPr="00267854" w:rsidRDefault="001B4E81">
                      <w:pPr>
                        <w:pBdr>
                          <w:top w:val="single" w:sz="24" w:space="8" w:color="4472C4" w:themeColor="accent1"/>
                          <w:bottom w:val="single" w:sz="24" w:space="8" w:color="4472C4" w:themeColor="accent1"/>
                        </w:pBdr>
                        <w:spacing w:after="0"/>
                        <w:rPr>
                          <w:b/>
                          <w:bCs/>
                          <w:i/>
                          <w:iCs/>
                          <w:color w:val="4472C4" w:themeColor="accent1"/>
                          <w:sz w:val="44"/>
                          <w:szCs w:val="44"/>
                        </w:rPr>
                      </w:pPr>
                      <w:r w:rsidRPr="00267854">
                        <w:rPr>
                          <w:b/>
                          <w:bCs/>
                          <w:i/>
                          <w:iCs/>
                          <w:color w:val="4472C4" w:themeColor="accent1"/>
                          <w:sz w:val="44"/>
                          <w:szCs w:val="44"/>
                        </w:rPr>
                        <w:t>WEEKLY NEWSLETTER –</w:t>
                      </w:r>
                      <w:r w:rsidR="00D8496B">
                        <w:rPr>
                          <w:b/>
                          <w:bCs/>
                          <w:i/>
                          <w:iCs/>
                          <w:color w:val="4472C4" w:themeColor="accent1"/>
                          <w:sz w:val="44"/>
                          <w:szCs w:val="44"/>
                        </w:rPr>
                        <w:t>21</w:t>
                      </w:r>
                      <w:r w:rsidR="00D8496B">
                        <w:rPr>
                          <w:b/>
                          <w:bCs/>
                          <w:i/>
                          <w:iCs/>
                          <w:color w:val="4472C4" w:themeColor="accent1"/>
                          <w:sz w:val="44"/>
                          <w:szCs w:val="44"/>
                          <w:vertAlign w:val="superscript"/>
                        </w:rPr>
                        <w:t>st</w:t>
                      </w:r>
                      <w:r w:rsidR="008E6C7C">
                        <w:rPr>
                          <w:b/>
                          <w:bCs/>
                          <w:i/>
                          <w:iCs/>
                          <w:color w:val="4472C4" w:themeColor="accent1"/>
                          <w:sz w:val="44"/>
                          <w:szCs w:val="44"/>
                        </w:rPr>
                        <w:t xml:space="preserve"> January 2021</w:t>
                      </w:r>
                    </w:p>
                  </w:txbxContent>
                </v:textbox>
                <w10:wrap type="topAndBottom" anchorx="page"/>
              </v:shape>
            </w:pict>
          </mc:Fallback>
        </mc:AlternateContent>
      </w:r>
    </w:p>
    <w:p w14:paraId="47BEF119" w14:textId="32B19BE9" w:rsidR="0068267C" w:rsidRPr="00B22200" w:rsidRDefault="002763E0" w:rsidP="001E2094">
      <w:pPr>
        <w:pStyle w:val="ListParagraph"/>
        <w:numPr>
          <w:ilvl w:val="0"/>
          <w:numId w:val="8"/>
        </w:numPr>
        <w:spacing w:after="0"/>
        <w:rPr>
          <w:rFonts w:cs="Arial"/>
          <w:b/>
          <w:bCs/>
          <w:color w:val="000000"/>
          <w:lang w:eastAsia="en-GB"/>
        </w:rPr>
      </w:pPr>
      <w:hyperlink w:anchor="mark_1" w:history="1">
        <w:r w:rsidR="001E2094" w:rsidRPr="002763E0">
          <w:rPr>
            <w:rStyle w:val="Hyperlink"/>
            <w:b/>
            <w:bCs/>
          </w:rPr>
          <w:t>NHSE/I legislative proposals on Integrated Care Systems</w:t>
        </w:r>
      </w:hyperlink>
    </w:p>
    <w:p w14:paraId="7C256F4D" w14:textId="128B1D63" w:rsidR="00B22200" w:rsidRPr="00B22200" w:rsidRDefault="002763E0" w:rsidP="00B22200">
      <w:pPr>
        <w:pStyle w:val="ListParagraph"/>
        <w:numPr>
          <w:ilvl w:val="0"/>
          <w:numId w:val="8"/>
        </w:numPr>
        <w:spacing w:after="0"/>
        <w:rPr>
          <w:b/>
          <w:bCs/>
        </w:rPr>
      </w:pPr>
      <w:hyperlink w:anchor="mark_2" w:history="1">
        <w:r w:rsidR="00B22200" w:rsidRPr="002763E0">
          <w:rPr>
            <w:rStyle w:val="Hyperlink"/>
            <w:rFonts w:cs="Arial"/>
            <w:b/>
            <w:bCs/>
          </w:rPr>
          <w:t>QOF Income protection</w:t>
        </w:r>
      </w:hyperlink>
      <w:r w:rsidR="00B22200">
        <w:rPr>
          <w:rFonts w:cs="Arial"/>
          <w:b/>
          <w:bCs/>
          <w:color w:val="000000"/>
        </w:rPr>
        <w:t xml:space="preserve"> </w:t>
      </w:r>
    </w:p>
    <w:p w14:paraId="53A448F3" w14:textId="6C8C9B69" w:rsidR="00B22200" w:rsidRPr="00B22200" w:rsidRDefault="002763E0" w:rsidP="00B22200">
      <w:pPr>
        <w:pStyle w:val="ListParagraph"/>
        <w:numPr>
          <w:ilvl w:val="0"/>
          <w:numId w:val="8"/>
        </w:numPr>
        <w:spacing w:after="0"/>
        <w:rPr>
          <w:b/>
          <w:bCs/>
        </w:rPr>
      </w:pPr>
      <w:hyperlink w:anchor="mark_3" w:history="1">
        <w:r w:rsidR="00B22200" w:rsidRPr="002763E0">
          <w:rPr>
            <w:rStyle w:val="Hyperlink"/>
            <w:b/>
            <w:bCs/>
          </w:rPr>
          <w:t>Update on CQC’s regulatory approach </w:t>
        </w:r>
      </w:hyperlink>
    </w:p>
    <w:p w14:paraId="2E470F3D" w14:textId="3D8D68BF" w:rsidR="0068267C" w:rsidRPr="0068267C" w:rsidRDefault="002763E0" w:rsidP="002169EC">
      <w:pPr>
        <w:pStyle w:val="ListParagraph"/>
        <w:numPr>
          <w:ilvl w:val="0"/>
          <w:numId w:val="8"/>
        </w:numPr>
        <w:spacing w:after="0"/>
        <w:jc w:val="both"/>
        <w:rPr>
          <w:rFonts w:cstheme="minorHAnsi"/>
          <w:b/>
          <w:bCs/>
          <w:color w:val="222222"/>
          <w:lang w:eastAsia="en-GB"/>
        </w:rPr>
      </w:pPr>
      <w:hyperlink w:anchor="mark_4" w:history="1">
        <w:r w:rsidR="001E2094" w:rsidRPr="002763E0">
          <w:rPr>
            <w:rStyle w:val="Hyperlink"/>
            <w:b/>
            <w:bCs/>
          </w:rPr>
          <w:t>Fit notes (med 3) </w:t>
        </w:r>
      </w:hyperlink>
    </w:p>
    <w:p w14:paraId="345E7133" w14:textId="0C484CC6" w:rsidR="00816E1F" w:rsidRDefault="002763E0" w:rsidP="002169EC">
      <w:pPr>
        <w:pStyle w:val="ListParagraph"/>
        <w:numPr>
          <w:ilvl w:val="0"/>
          <w:numId w:val="8"/>
        </w:numPr>
        <w:spacing w:after="0"/>
        <w:rPr>
          <w:b/>
          <w:bCs/>
        </w:rPr>
      </w:pPr>
      <w:hyperlink w:anchor="mark_5" w:history="1">
        <w:r w:rsidR="001E2094" w:rsidRPr="002763E0">
          <w:rPr>
            <w:rStyle w:val="Hyperlink"/>
            <w:b/>
            <w:bCs/>
          </w:rPr>
          <w:t>Suspected or diagnosed cancers and cervical screening</w:t>
        </w:r>
      </w:hyperlink>
    </w:p>
    <w:p w14:paraId="07F3025C" w14:textId="27660EC0" w:rsidR="00B22200" w:rsidRPr="001E2094" w:rsidRDefault="002763E0" w:rsidP="002169EC">
      <w:pPr>
        <w:pStyle w:val="ListParagraph"/>
        <w:numPr>
          <w:ilvl w:val="0"/>
          <w:numId w:val="8"/>
        </w:numPr>
        <w:spacing w:after="0"/>
        <w:rPr>
          <w:b/>
          <w:bCs/>
        </w:rPr>
      </w:pPr>
      <w:hyperlink w:anchor="mark_6" w:history="1">
        <w:r w:rsidR="00B22200" w:rsidRPr="002763E0">
          <w:rPr>
            <w:rStyle w:val="Hyperlink"/>
            <w:b/>
            <w:bCs/>
          </w:rPr>
          <w:t>Pre-re</w:t>
        </w:r>
        <w:r w:rsidR="00B22200" w:rsidRPr="002763E0">
          <w:rPr>
            <w:rStyle w:val="Hyperlink"/>
            <w:b/>
            <w:bCs/>
          </w:rPr>
          <w:t>g</w:t>
        </w:r>
        <w:r w:rsidR="00B22200" w:rsidRPr="002763E0">
          <w:rPr>
            <w:rStyle w:val="Hyperlink"/>
            <w:b/>
            <w:bCs/>
          </w:rPr>
          <w:t>istration for offenders leaving prison</w:t>
        </w:r>
      </w:hyperlink>
    </w:p>
    <w:p w14:paraId="06EA7083" w14:textId="37292F0B" w:rsidR="00B22200" w:rsidRPr="00B22200" w:rsidRDefault="002763E0" w:rsidP="00B22200">
      <w:pPr>
        <w:pStyle w:val="ListParagraph"/>
        <w:numPr>
          <w:ilvl w:val="0"/>
          <w:numId w:val="8"/>
        </w:numPr>
        <w:spacing w:after="0"/>
        <w:rPr>
          <w:b/>
          <w:bCs/>
        </w:rPr>
      </w:pPr>
      <w:hyperlink w:anchor="mark_7" w:history="1">
        <w:r w:rsidR="001E2094" w:rsidRPr="002763E0">
          <w:rPr>
            <w:rStyle w:val="Hyperlink"/>
            <w:rFonts w:cs="Arial"/>
            <w:b/>
            <w:bCs/>
          </w:rPr>
          <w:t xml:space="preserve">COVID Vaccination deployment – COVID-19 </w:t>
        </w:r>
        <w:r w:rsidR="00E95DC1">
          <w:rPr>
            <w:rStyle w:val="Hyperlink"/>
            <w:rFonts w:cs="Arial"/>
            <w:b/>
            <w:bCs/>
          </w:rPr>
          <w:t xml:space="preserve">NHSE </w:t>
        </w:r>
        <w:r w:rsidR="001E2094" w:rsidRPr="002763E0">
          <w:rPr>
            <w:rStyle w:val="Hyperlink"/>
            <w:rFonts w:cs="Arial"/>
            <w:b/>
            <w:bCs/>
          </w:rPr>
          <w:t>Update</w:t>
        </w:r>
      </w:hyperlink>
    </w:p>
    <w:p w14:paraId="131E9511" w14:textId="17495A96" w:rsidR="00D81F48" w:rsidRDefault="00D81F48" w:rsidP="00D81F48">
      <w:pPr>
        <w:spacing w:after="0"/>
        <w:rPr>
          <w:b/>
          <w:bCs/>
        </w:rPr>
      </w:pPr>
    </w:p>
    <w:p w14:paraId="461E39DA" w14:textId="2D0616A8" w:rsidR="00D81F48" w:rsidRPr="00D81F48" w:rsidRDefault="00D81F48" w:rsidP="00D81F4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rPr>
      </w:pPr>
      <w:r>
        <w:rPr>
          <w:b/>
          <w:bCs/>
          <w:color w:val="000000"/>
        </w:rPr>
        <w:t>1.</w:t>
      </w:r>
      <w:r>
        <w:rPr>
          <w:b/>
          <w:bCs/>
          <w:color w:val="000000"/>
        </w:rPr>
        <w:tab/>
      </w:r>
      <w:bookmarkStart w:id="1" w:name="mark_1"/>
      <w:r w:rsidRPr="00D81F48">
        <w:rPr>
          <w:b/>
          <w:bCs/>
          <w:color w:val="000000"/>
        </w:rPr>
        <w:t xml:space="preserve">NHSE/I legislative proposals on Integrated Care Systems </w:t>
      </w:r>
      <w:bookmarkEnd w:id="1"/>
    </w:p>
    <w:p w14:paraId="109E3671" w14:textId="77777777" w:rsidR="00D81F48" w:rsidRPr="004148DC" w:rsidRDefault="00D81F48" w:rsidP="00D81F4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4148DC">
        <w:rPr>
          <w:color w:val="000000"/>
          <w:sz w:val="20"/>
          <w:szCs w:val="20"/>
        </w:rPr>
        <w:t xml:space="preserve">The BMA has responded to </w:t>
      </w:r>
      <w:hyperlink r:id="rId11" w:history="1">
        <w:r w:rsidRPr="004148DC">
          <w:rPr>
            <w:rStyle w:val="Hyperlink"/>
            <w:sz w:val="20"/>
            <w:szCs w:val="20"/>
          </w:rPr>
          <w:t>new legislative proposals</w:t>
        </w:r>
      </w:hyperlink>
      <w:r w:rsidRPr="004148DC">
        <w:rPr>
          <w:color w:val="000000"/>
          <w:sz w:val="20"/>
          <w:szCs w:val="20"/>
        </w:rPr>
        <w:t xml:space="preserve"> put forward by NHSE/I, which would see ICSs (Integrated Care Systems) made statutory bodies and could dramatically alter the role of CCGs.  </w:t>
      </w:r>
    </w:p>
    <w:p w14:paraId="209B4327" w14:textId="77777777" w:rsidR="00D81F48" w:rsidRPr="004148DC" w:rsidRDefault="00D81F48" w:rsidP="00D81F4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4148DC">
        <w:rPr>
          <w:color w:val="000000"/>
          <w:sz w:val="20"/>
          <w:szCs w:val="20"/>
        </w:rPr>
        <w:t xml:space="preserve">In the </w:t>
      </w:r>
      <w:hyperlink r:id="rId12" w:history="1">
        <w:r w:rsidRPr="004148DC">
          <w:rPr>
            <w:rStyle w:val="Hyperlink"/>
            <w:sz w:val="20"/>
            <w:szCs w:val="20"/>
          </w:rPr>
          <w:t>response</w:t>
        </w:r>
      </w:hyperlink>
      <w:r w:rsidRPr="004148DC">
        <w:rPr>
          <w:color w:val="000000"/>
          <w:sz w:val="20"/>
          <w:szCs w:val="20"/>
        </w:rPr>
        <w:t xml:space="preserve">, </w:t>
      </w:r>
      <w:r>
        <w:rPr>
          <w:color w:val="000000"/>
          <w:sz w:val="20"/>
          <w:szCs w:val="20"/>
        </w:rPr>
        <w:t>the BMA</w:t>
      </w:r>
      <w:r w:rsidRPr="004148DC">
        <w:rPr>
          <w:color w:val="000000"/>
          <w:sz w:val="20"/>
          <w:szCs w:val="20"/>
        </w:rPr>
        <w:t xml:space="preserve"> are critical of the manner in which the consultation has been carried out but also examine the potential implications of the proposals which, </w:t>
      </w:r>
      <w:r>
        <w:rPr>
          <w:color w:val="000000"/>
          <w:sz w:val="20"/>
          <w:szCs w:val="20"/>
        </w:rPr>
        <w:t>they</w:t>
      </w:r>
      <w:r w:rsidRPr="004148DC">
        <w:rPr>
          <w:color w:val="000000"/>
          <w:sz w:val="20"/>
          <w:szCs w:val="20"/>
        </w:rPr>
        <w:t xml:space="preserve"> believe, are currently incapable of delivering the integrated and collaborative NHS that staff and patients need. </w:t>
      </w:r>
      <w:r>
        <w:rPr>
          <w:color w:val="000000"/>
          <w:sz w:val="20"/>
          <w:szCs w:val="20"/>
        </w:rPr>
        <w:t>The BMA</w:t>
      </w:r>
      <w:r w:rsidRPr="004148DC">
        <w:rPr>
          <w:color w:val="000000"/>
          <w:sz w:val="20"/>
          <w:szCs w:val="20"/>
        </w:rPr>
        <w:t xml:space="preserve"> have also set out where </w:t>
      </w:r>
      <w:r>
        <w:rPr>
          <w:color w:val="000000"/>
          <w:sz w:val="20"/>
          <w:szCs w:val="20"/>
        </w:rPr>
        <w:t xml:space="preserve">they </w:t>
      </w:r>
      <w:r w:rsidRPr="004148DC">
        <w:rPr>
          <w:color w:val="000000"/>
          <w:sz w:val="20"/>
          <w:szCs w:val="20"/>
        </w:rPr>
        <w:t xml:space="preserve">believe further changes </w:t>
      </w:r>
      <w:proofErr w:type="gramStart"/>
      <w:r w:rsidRPr="004148DC">
        <w:rPr>
          <w:color w:val="000000"/>
          <w:sz w:val="20"/>
          <w:szCs w:val="20"/>
        </w:rPr>
        <w:t>have to</w:t>
      </w:r>
      <w:proofErr w:type="gramEnd"/>
      <w:r w:rsidRPr="004148DC">
        <w:rPr>
          <w:color w:val="000000"/>
          <w:sz w:val="20"/>
          <w:szCs w:val="20"/>
        </w:rPr>
        <w:t xml:space="preserve"> be made - both to the proposals and to the present system itself - including highlighting the need for strong clinical voices within ICSs and for the NHS to be made the preferred provider of NHS services, for example. </w:t>
      </w:r>
      <w:r>
        <w:rPr>
          <w:color w:val="000000"/>
          <w:sz w:val="20"/>
          <w:szCs w:val="20"/>
        </w:rPr>
        <w:t>The BMA</w:t>
      </w:r>
      <w:r w:rsidRPr="004148DC">
        <w:rPr>
          <w:color w:val="000000"/>
          <w:sz w:val="20"/>
          <w:szCs w:val="20"/>
        </w:rPr>
        <w:t xml:space="preserve"> have been clear about the fundamental importance of the independent contract system for general practice and of the role of LMCs as the representative of all GPs in an area. </w:t>
      </w:r>
    </w:p>
    <w:p w14:paraId="7424E2D0" w14:textId="5DD2FC6E" w:rsidR="00D81F48" w:rsidRPr="00B22200" w:rsidRDefault="00D81F48" w:rsidP="00B2220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4148DC">
        <w:rPr>
          <w:color w:val="000000"/>
          <w:sz w:val="20"/>
          <w:szCs w:val="20"/>
        </w:rPr>
        <w:t xml:space="preserve">The response is now available on the BMA website </w:t>
      </w:r>
      <w:hyperlink r:id="rId13" w:history="1">
        <w:r w:rsidRPr="004148DC">
          <w:rPr>
            <w:rStyle w:val="Hyperlink"/>
            <w:sz w:val="20"/>
            <w:szCs w:val="20"/>
          </w:rPr>
          <w:t>here</w:t>
        </w:r>
      </w:hyperlink>
      <w:r w:rsidRPr="004148DC">
        <w:rPr>
          <w:color w:val="000000"/>
          <w:sz w:val="20"/>
          <w:szCs w:val="20"/>
        </w:rPr>
        <w:t xml:space="preserve"> and should you have any questions regarding it or the proposals themselves please contact </w:t>
      </w:r>
      <w:hyperlink r:id="rId14" w:history="1">
        <w:r w:rsidRPr="004148DC">
          <w:rPr>
            <w:rStyle w:val="Hyperlink"/>
            <w:sz w:val="20"/>
            <w:szCs w:val="20"/>
          </w:rPr>
          <w:t>info.policy@bma.org.uk</w:t>
        </w:r>
      </w:hyperlink>
      <w:r w:rsidRPr="004148DC">
        <w:rPr>
          <w:color w:val="000000"/>
          <w:sz w:val="20"/>
          <w:szCs w:val="20"/>
        </w:rPr>
        <w:t> </w:t>
      </w:r>
    </w:p>
    <w:p w14:paraId="022AF450" w14:textId="77777777" w:rsidR="00B22200" w:rsidRDefault="00B22200" w:rsidP="00B22200"/>
    <w:p w14:paraId="44EB4733" w14:textId="5DA51495" w:rsidR="00B22200" w:rsidRPr="00B267C6" w:rsidRDefault="00B22200" w:rsidP="00B2220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Fonts w:cs="Arial"/>
          <w:b/>
          <w:bCs/>
          <w:color w:val="000000"/>
        </w:rPr>
      </w:pPr>
      <w:bookmarkStart w:id="2" w:name="_Hlk59531770"/>
      <w:r>
        <w:rPr>
          <w:rStyle w:val="Strong"/>
          <w:rFonts w:cstheme="minorHAnsi"/>
          <w:color w:val="222222"/>
          <w:sz w:val="20"/>
          <w:szCs w:val="20"/>
        </w:rPr>
        <w:t>2</w:t>
      </w:r>
      <w:r>
        <w:rPr>
          <w:rStyle w:val="Strong"/>
          <w:rFonts w:cstheme="minorHAnsi"/>
          <w:color w:val="222222"/>
          <w:sz w:val="20"/>
          <w:szCs w:val="20"/>
        </w:rPr>
        <w:t>.</w:t>
      </w:r>
      <w:r>
        <w:rPr>
          <w:rStyle w:val="Strong"/>
          <w:rFonts w:cstheme="minorHAnsi"/>
          <w:color w:val="222222"/>
          <w:sz w:val="20"/>
          <w:szCs w:val="20"/>
        </w:rPr>
        <w:tab/>
      </w:r>
      <w:bookmarkStart w:id="3" w:name="mark_10"/>
      <w:bookmarkStart w:id="4" w:name="mark_2"/>
      <w:bookmarkEnd w:id="2"/>
      <w:bookmarkEnd w:id="3"/>
      <w:r w:rsidRPr="00B267C6">
        <w:rPr>
          <w:rFonts w:cs="Arial"/>
          <w:b/>
          <w:bCs/>
          <w:color w:val="000000"/>
        </w:rPr>
        <w:t>QOF Income protection</w:t>
      </w:r>
      <w:bookmarkEnd w:id="4"/>
    </w:p>
    <w:p w14:paraId="740CC825" w14:textId="62DDDED8" w:rsidR="00B22200" w:rsidRPr="00B22200" w:rsidRDefault="00B22200" w:rsidP="00B2220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rFonts w:cs="Arial"/>
          <w:color w:val="000000"/>
          <w:sz w:val="20"/>
          <w:szCs w:val="20"/>
        </w:rPr>
      </w:pPr>
      <w:r w:rsidRPr="00B267C6">
        <w:rPr>
          <w:rFonts w:cs="Arial"/>
          <w:color w:val="000000"/>
          <w:sz w:val="20"/>
          <w:szCs w:val="20"/>
        </w:rPr>
        <w:t>Please find attached</w:t>
      </w:r>
      <w:r>
        <w:rPr>
          <w:rFonts w:cs="Arial"/>
          <w:color w:val="000000"/>
          <w:sz w:val="20"/>
          <w:szCs w:val="20"/>
        </w:rPr>
        <w:t xml:space="preserve"> (Enc.1)</w:t>
      </w:r>
      <w:r w:rsidRPr="00B267C6">
        <w:rPr>
          <w:rFonts w:cs="Arial"/>
          <w:color w:val="000000"/>
          <w:sz w:val="20"/>
          <w:szCs w:val="20"/>
        </w:rPr>
        <w:t xml:space="preserve"> a list of the QOF indicators and whether they are protected or not for your information.  Practices will need to maintain up to date disease </w:t>
      </w:r>
      <w:proofErr w:type="gramStart"/>
      <w:r w:rsidRPr="00B267C6">
        <w:rPr>
          <w:rFonts w:cs="Arial"/>
          <w:color w:val="000000"/>
          <w:sz w:val="20"/>
          <w:szCs w:val="20"/>
        </w:rPr>
        <w:t>registers</w:t>
      </w:r>
      <w:proofErr w:type="gramEnd"/>
      <w:r w:rsidRPr="00B267C6">
        <w:rPr>
          <w:rFonts w:cs="Arial"/>
          <w:color w:val="000000"/>
          <w:sz w:val="20"/>
          <w:szCs w:val="20"/>
        </w:rPr>
        <w:t xml:space="preserve"> but the majority of indicators are protected. Where indicators are not protected (</w:t>
      </w:r>
      <w:proofErr w:type="gramStart"/>
      <w:r w:rsidRPr="00B267C6">
        <w:rPr>
          <w:rFonts w:cs="Arial"/>
          <w:color w:val="000000"/>
          <w:sz w:val="20"/>
          <w:szCs w:val="20"/>
        </w:rPr>
        <w:t>e.g.</w:t>
      </w:r>
      <w:proofErr w:type="gramEnd"/>
      <w:r w:rsidRPr="00B267C6">
        <w:rPr>
          <w:rFonts w:cs="Arial"/>
          <w:color w:val="000000"/>
          <w:sz w:val="20"/>
          <w:szCs w:val="20"/>
        </w:rPr>
        <w:t xml:space="preserve"> cervical screening, influenza immunisation etc.) practices will be paid on their achievement as normal, therefore practices should continue to deliver these indicators as required. </w:t>
      </w:r>
    </w:p>
    <w:p w14:paraId="42461F05" w14:textId="0455C0C7" w:rsidR="005318E5" w:rsidRDefault="005318E5" w:rsidP="00D81F48">
      <w:pPr>
        <w:spacing w:before="100" w:beforeAutospacing="1" w:after="100" w:afterAutospacing="1"/>
        <w:jc w:val="both"/>
        <w:rPr>
          <w:color w:val="000000"/>
          <w:sz w:val="20"/>
          <w:szCs w:val="20"/>
        </w:rPr>
      </w:pPr>
    </w:p>
    <w:p w14:paraId="6934448A" w14:textId="2808EDE1" w:rsidR="00B22200" w:rsidRPr="00D62015" w:rsidRDefault="00B22200" w:rsidP="00B2220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rPr>
      </w:pPr>
      <w:r>
        <w:rPr>
          <w:b/>
          <w:bCs/>
        </w:rPr>
        <w:t>3</w:t>
      </w:r>
      <w:r>
        <w:rPr>
          <w:b/>
          <w:bCs/>
        </w:rPr>
        <w:t>.</w:t>
      </w:r>
      <w:r>
        <w:rPr>
          <w:b/>
          <w:bCs/>
        </w:rPr>
        <w:tab/>
      </w:r>
      <w:bookmarkStart w:id="5" w:name="mark_3"/>
      <w:r w:rsidRPr="00D62015">
        <w:rPr>
          <w:b/>
          <w:bCs/>
          <w:color w:val="000000"/>
        </w:rPr>
        <w:t>Update on CQC’s regulatory approach </w:t>
      </w:r>
      <w:bookmarkEnd w:id="5"/>
    </w:p>
    <w:p w14:paraId="15364737" w14:textId="77777777" w:rsidR="00B22200" w:rsidRPr="00D62015" w:rsidRDefault="00B22200" w:rsidP="00B2220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D62015">
        <w:rPr>
          <w:color w:val="000000"/>
          <w:sz w:val="20"/>
          <w:szCs w:val="20"/>
        </w:rPr>
        <w:t xml:space="preserve">Following </w:t>
      </w:r>
      <w:r>
        <w:rPr>
          <w:color w:val="000000"/>
          <w:sz w:val="20"/>
          <w:szCs w:val="20"/>
        </w:rPr>
        <w:t>the BMA</w:t>
      </w:r>
      <w:r w:rsidRPr="00D62015">
        <w:rPr>
          <w:color w:val="000000"/>
          <w:sz w:val="20"/>
          <w:szCs w:val="20"/>
        </w:rPr>
        <w:t xml:space="preserve"> call on CQC to suspend routine reviews they have now published an </w:t>
      </w:r>
      <w:hyperlink r:id="rId15" w:history="1">
        <w:r w:rsidRPr="00D62015">
          <w:rPr>
            <w:rStyle w:val="Hyperlink"/>
            <w:sz w:val="20"/>
            <w:szCs w:val="20"/>
          </w:rPr>
          <w:t>update on their regulatory approach</w:t>
        </w:r>
      </w:hyperlink>
      <w:r w:rsidRPr="00D62015">
        <w:rPr>
          <w:color w:val="000000"/>
          <w:sz w:val="20"/>
          <w:szCs w:val="20"/>
        </w:rPr>
        <w:t xml:space="preserve"> during the pandemic, which states:  </w:t>
      </w:r>
    </w:p>
    <w:p w14:paraId="5E56BDBA" w14:textId="77777777" w:rsidR="00B22200" w:rsidRDefault="00B22200" w:rsidP="00B2220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D62015">
        <w:rPr>
          <w:i/>
          <w:iCs/>
          <w:color w:val="000000"/>
          <w:sz w:val="20"/>
          <w:szCs w:val="20"/>
        </w:rPr>
        <w:t xml:space="preserve">‘For primary medical services we will only inspect in response to significant risk of harm – including concerns raised by people working in services and people using them – and when we cannot seek assurances through other routes. If an inspection is necessary, we will carry out as much activity off-site as </w:t>
      </w:r>
      <w:proofErr w:type="gramStart"/>
      <w:r w:rsidRPr="00D62015">
        <w:rPr>
          <w:i/>
          <w:iCs/>
          <w:color w:val="000000"/>
          <w:sz w:val="20"/>
          <w:szCs w:val="20"/>
        </w:rPr>
        <w:t>possible’</w:t>
      </w:r>
      <w:proofErr w:type="gramEnd"/>
      <w:r w:rsidRPr="00D62015">
        <w:rPr>
          <w:color w:val="000000"/>
          <w:sz w:val="20"/>
          <w:szCs w:val="20"/>
        </w:rPr>
        <w:t> </w:t>
      </w:r>
    </w:p>
    <w:p w14:paraId="36976617" w14:textId="77777777" w:rsidR="00B22200" w:rsidRDefault="00B22200" w:rsidP="00D81F48">
      <w:pPr>
        <w:spacing w:before="100" w:beforeAutospacing="1" w:after="100" w:afterAutospacing="1"/>
        <w:jc w:val="both"/>
        <w:rPr>
          <w:color w:val="000000"/>
          <w:sz w:val="20"/>
          <w:szCs w:val="20"/>
        </w:rPr>
      </w:pPr>
    </w:p>
    <w:p w14:paraId="7B3ED81C" w14:textId="4ED419A3" w:rsidR="005318E5" w:rsidRPr="00245E3D" w:rsidRDefault="00B22200" w:rsidP="005318E5">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rPr>
      </w:pPr>
      <w:r>
        <w:rPr>
          <w:b/>
          <w:bCs/>
        </w:rPr>
        <w:t>4</w:t>
      </w:r>
      <w:r w:rsidR="00D81F48" w:rsidRPr="0068267C">
        <w:rPr>
          <w:b/>
          <w:bCs/>
        </w:rPr>
        <w:t>.</w:t>
      </w:r>
      <w:r w:rsidR="00D81F48" w:rsidRPr="0068267C">
        <w:tab/>
      </w:r>
      <w:bookmarkStart w:id="6" w:name="mark_4"/>
      <w:r w:rsidR="005318E5" w:rsidRPr="00245E3D">
        <w:rPr>
          <w:b/>
          <w:bCs/>
        </w:rPr>
        <w:t>Fit notes (med 3) </w:t>
      </w:r>
      <w:bookmarkEnd w:id="6"/>
    </w:p>
    <w:p w14:paraId="34F599BE" w14:textId="77777777" w:rsidR="005318E5" w:rsidRPr="00245E3D" w:rsidRDefault="005318E5" w:rsidP="005318E5">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sz w:val="20"/>
          <w:szCs w:val="20"/>
        </w:rPr>
      </w:pPr>
    </w:p>
    <w:p w14:paraId="4D17D355" w14:textId="77777777" w:rsidR="005318E5" w:rsidRPr="00245E3D" w:rsidRDefault="005318E5" w:rsidP="005318E5">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245E3D">
        <w:rPr>
          <w:sz w:val="20"/>
          <w:szCs w:val="20"/>
        </w:rPr>
        <w:t xml:space="preserve">GPs are reminded that they are still required to issue fit notes (med 3) as normal. There are specific scenarios relating to COVID-19 where patients can use the isolation note service, instead of seeing a GP, as outlined below. Please do not signpost patients to NHS 111 </w:t>
      </w:r>
      <w:proofErr w:type="gramStart"/>
      <w:r w:rsidRPr="00245E3D">
        <w:rPr>
          <w:sz w:val="20"/>
          <w:szCs w:val="20"/>
        </w:rPr>
        <w:t>in order to</w:t>
      </w:r>
      <w:proofErr w:type="gramEnd"/>
      <w:r w:rsidRPr="00245E3D">
        <w:rPr>
          <w:sz w:val="20"/>
          <w:szCs w:val="20"/>
        </w:rPr>
        <w:t xml:space="preserve"> get a fit note as they are not provided by the service. During the pandemic DWP is encouraging employers to use their discretion as to what medical evidence is required to support periods of sickness absence. </w:t>
      </w:r>
    </w:p>
    <w:p w14:paraId="26133E65" w14:textId="77777777" w:rsidR="005318E5" w:rsidRPr="00245E3D" w:rsidRDefault="005318E5" w:rsidP="005318E5">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245E3D">
        <w:rPr>
          <w:sz w:val="20"/>
          <w:szCs w:val="20"/>
        </w:rPr>
        <w:t> </w:t>
      </w:r>
    </w:p>
    <w:p w14:paraId="4B4D6C5A" w14:textId="77777777" w:rsidR="005318E5" w:rsidRPr="00245E3D" w:rsidRDefault="005318E5" w:rsidP="005318E5">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245E3D">
        <w:rPr>
          <w:sz w:val="20"/>
          <w:szCs w:val="20"/>
        </w:rPr>
        <w:t>Previously advice was issued on issuing fit notes (med 3s) remotely during the pandemic, which remains in place until further notice. A properly signed and scanned fit note sent via email to the patient will be regarded as 'other evidence' and will be accepted by DWP for benefit purposes. Not signing fit notes can mean that they are rejected by employers and DWP, so we have been asked to remind GPs that fit notes must be signed. The original hard copy does not need to be retained if there is an electronic copy of the fit note in the medical record. </w:t>
      </w:r>
    </w:p>
    <w:p w14:paraId="7442935B" w14:textId="77777777" w:rsidR="005318E5" w:rsidRPr="00245E3D" w:rsidRDefault="005318E5" w:rsidP="005318E5">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245E3D">
        <w:rPr>
          <w:sz w:val="20"/>
          <w:szCs w:val="20"/>
        </w:rPr>
        <w:t> </w:t>
      </w:r>
    </w:p>
    <w:p w14:paraId="391C0205" w14:textId="77777777" w:rsidR="005318E5" w:rsidRPr="00245E3D" w:rsidRDefault="005318E5" w:rsidP="005318E5">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245E3D">
        <w:rPr>
          <w:sz w:val="20"/>
          <w:szCs w:val="20"/>
        </w:rPr>
        <w:t xml:space="preserve">If the patient is unable to receive their fit note electronically, they will be required to collect a hard copy from the practice or it will </w:t>
      </w:r>
      <w:proofErr w:type="gramStart"/>
      <w:r w:rsidRPr="00245E3D">
        <w:rPr>
          <w:sz w:val="20"/>
          <w:szCs w:val="20"/>
        </w:rPr>
        <w:t>posted</w:t>
      </w:r>
      <w:proofErr w:type="gramEnd"/>
      <w:r w:rsidRPr="00245E3D">
        <w:rPr>
          <w:sz w:val="20"/>
          <w:szCs w:val="20"/>
        </w:rPr>
        <w:t xml:space="preserve"> to them, at the practice’s discretion. Isolation note service: </w:t>
      </w:r>
    </w:p>
    <w:p w14:paraId="02864C51" w14:textId="77777777" w:rsidR="005318E5" w:rsidRPr="00245E3D" w:rsidRDefault="005318E5" w:rsidP="005318E5">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245E3D">
        <w:rPr>
          <w:sz w:val="20"/>
          <w:szCs w:val="20"/>
        </w:rPr>
        <w:t> </w:t>
      </w:r>
    </w:p>
    <w:p w14:paraId="752A7260" w14:textId="77777777" w:rsidR="005318E5" w:rsidRPr="00245E3D" w:rsidRDefault="005318E5" w:rsidP="005318E5">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245E3D">
        <w:rPr>
          <w:sz w:val="20"/>
          <w:szCs w:val="20"/>
        </w:rPr>
        <w:t>The isolation service does not provide fit notes (med 3s). It is an automated service that can be used to provide evidence of the need to self-isolate by those who: </w:t>
      </w:r>
    </w:p>
    <w:p w14:paraId="7872BA7F" w14:textId="77777777" w:rsidR="005318E5" w:rsidRPr="00245E3D" w:rsidRDefault="005318E5" w:rsidP="005318E5">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245E3D">
        <w:rPr>
          <w:sz w:val="20"/>
          <w:szCs w:val="20"/>
        </w:rPr>
        <w:t xml:space="preserve">-       Have symptoms of </w:t>
      </w:r>
      <w:proofErr w:type="gramStart"/>
      <w:r w:rsidRPr="00245E3D">
        <w:rPr>
          <w:sz w:val="20"/>
          <w:szCs w:val="20"/>
        </w:rPr>
        <w:t>coronavirus</w:t>
      </w:r>
      <w:proofErr w:type="gramEnd"/>
      <w:r w:rsidRPr="00245E3D">
        <w:rPr>
          <w:sz w:val="20"/>
          <w:szCs w:val="20"/>
        </w:rPr>
        <w:t> </w:t>
      </w:r>
    </w:p>
    <w:p w14:paraId="64698103" w14:textId="77777777" w:rsidR="005318E5" w:rsidRPr="00245E3D" w:rsidRDefault="005318E5" w:rsidP="005318E5">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245E3D">
        <w:rPr>
          <w:sz w:val="20"/>
          <w:szCs w:val="20"/>
        </w:rPr>
        <w:t xml:space="preserve">-       live with someone who has symptoms of </w:t>
      </w:r>
      <w:proofErr w:type="gramStart"/>
      <w:r w:rsidRPr="00245E3D">
        <w:rPr>
          <w:sz w:val="20"/>
          <w:szCs w:val="20"/>
        </w:rPr>
        <w:t>coronavirus</w:t>
      </w:r>
      <w:proofErr w:type="gramEnd"/>
      <w:r w:rsidRPr="00245E3D">
        <w:rPr>
          <w:sz w:val="20"/>
          <w:szCs w:val="20"/>
        </w:rPr>
        <w:t> </w:t>
      </w:r>
    </w:p>
    <w:p w14:paraId="3E873911" w14:textId="77777777" w:rsidR="005318E5" w:rsidRPr="00245E3D" w:rsidRDefault="005318E5" w:rsidP="005318E5">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245E3D">
        <w:rPr>
          <w:sz w:val="20"/>
          <w:szCs w:val="20"/>
        </w:rPr>
        <w:t xml:space="preserve">-       are in a support bubble with someone who has symptoms of </w:t>
      </w:r>
      <w:proofErr w:type="gramStart"/>
      <w:r w:rsidRPr="00245E3D">
        <w:rPr>
          <w:sz w:val="20"/>
          <w:szCs w:val="20"/>
        </w:rPr>
        <w:t>coronavirus</w:t>
      </w:r>
      <w:proofErr w:type="gramEnd"/>
      <w:r w:rsidRPr="00245E3D">
        <w:rPr>
          <w:sz w:val="20"/>
          <w:szCs w:val="20"/>
        </w:rPr>
        <w:t> </w:t>
      </w:r>
    </w:p>
    <w:p w14:paraId="64A50702" w14:textId="77777777" w:rsidR="005318E5" w:rsidRPr="00245E3D" w:rsidRDefault="005318E5" w:rsidP="005318E5">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245E3D">
        <w:rPr>
          <w:sz w:val="20"/>
          <w:szCs w:val="20"/>
        </w:rPr>
        <w:t xml:space="preserve">-       have been told to self-isolate by a test and trace </w:t>
      </w:r>
      <w:proofErr w:type="gramStart"/>
      <w:r w:rsidRPr="00245E3D">
        <w:rPr>
          <w:sz w:val="20"/>
          <w:szCs w:val="20"/>
        </w:rPr>
        <w:t>service</w:t>
      </w:r>
      <w:proofErr w:type="gramEnd"/>
      <w:r w:rsidRPr="00245E3D">
        <w:rPr>
          <w:sz w:val="20"/>
          <w:szCs w:val="20"/>
        </w:rPr>
        <w:t> </w:t>
      </w:r>
    </w:p>
    <w:p w14:paraId="2A0ABCA8" w14:textId="77777777" w:rsidR="005318E5" w:rsidRPr="00245E3D" w:rsidRDefault="005318E5" w:rsidP="005318E5">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245E3D">
        <w:rPr>
          <w:sz w:val="20"/>
          <w:szCs w:val="20"/>
        </w:rPr>
        <w:t> </w:t>
      </w:r>
    </w:p>
    <w:p w14:paraId="78F44634" w14:textId="06CD4D71" w:rsidR="005318E5" w:rsidRDefault="005318E5" w:rsidP="005318E5">
      <w:pPr>
        <w:pStyle w:val="NoSpacing"/>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245E3D">
        <w:rPr>
          <w:sz w:val="20"/>
          <w:szCs w:val="20"/>
        </w:rPr>
        <w:t>It can be used to cover continuing periods of isolation if patients still have symptoms or develop new symptoms following their initial isolation period. </w:t>
      </w:r>
    </w:p>
    <w:p w14:paraId="6AEB0F07" w14:textId="77777777" w:rsidR="00B22200" w:rsidRPr="00D62015" w:rsidRDefault="00B22200" w:rsidP="00B22200">
      <w:pPr>
        <w:jc w:val="both"/>
        <w:rPr>
          <w:color w:val="000000"/>
          <w:sz w:val="20"/>
          <w:szCs w:val="20"/>
        </w:rPr>
      </w:pPr>
    </w:p>
    <w:p w14:paraId="4048EE70" w14:textId="77777777" w:rsidR="005318E5" w:rsidRPr="00245E3D" w:rsidRDefault="005318E5" w:rsidP="005318E5">
      <w:pPr>
        <w:pStyle w:val="NoSpacing"/>
        <w:jc w:val="both"/>
        <w:rPr>
          <w:sz w:val="20"/>
          <w:szCs w:val="20"/>
        </w:rPr>
      </w:pPr>
    </w:p>
    <w:p w14:paraId="278CD422" w14:textId="77777777" w:rsidR="00262DFF" w:rsidRDefault="00262DFF" w:rsidP="00262DFF">
      <w:pPr>
        <w:pStyle w:val="NormalWeb"/>
        <w:spacing w:before="0" w:beforeAutospacing="0" w:after="0" w:afterAutospacing="0" w:line="315" w:lineRule="atLeast"/>
        <w:textAlignment w:val="center"/>
      </w:pPr>
    </w:p>
    <w:p w14:paraId="219FBD39" w14:textId="2536D332" w:rsidR="00262DFF" w:rsidRPr="00B267C6" w:rsidRDefault="00B22200" w:rsidP="00262DFF">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0" w:beforeAutospacing="0" w:after="0" w:afterAutospacing="0" w:line="160" w:lineRule="atLeast"/>
        <w:textAlignment w:val="center"/>
        <w:rPr>
          <w:rStyle w:val="Strong"/>
          <w:rFonts w:asciiTheme="minorHAnsi" w:hAnsiTheme="minorHAnsi" w:cs="Arial"/>
          <w:color w:val="030303"/>
          <w:position w:val="17"/>
        </w:rPr>
      </w:pPr>
      <w:r>
        <w:rPr>
          <w:rStyle w:val="Strong"/>
          <w:rFonts w:asciiTheme="minorHAnsi" w:hAnsiTheme="minorHAnsi" w:cs="Arial"/>
          <w:color w:val="030303"/>
          <w:position w:val="17"/>
        </w:rPr>
        <w:t>5</w:t>
      </w:r>
      <w:r w:rsidR="00262DFF">
        <w:rPr>
          <w:rStyle w:val="Strong"/>
          <w:rFonts w:asciiTheme="minorHAnsi" w:hAnsiTheme="minorHAnsi" w:cs="Arial"/>
          <w:color w:val="030303"/>
          <w:position w:val="17"/>
        </w:rPr>
        <w:t>.</w:t>
      </w:r>
      <w:r w:rsidR="00262DFF">
        <w:rPr>
          <w:rStyle w:val="Strong"/>
          <w:rFonts w:asciiTheme="minorHAnsi" w:hAnsiTheme="minorHAnsi" w:cs="Arial"/>
          <w:color w:val="030303"/>
          <w:position w:val="17"/>
        </w:rPr>
        <w:tab/>
      </w:r>
      <w:bookmarkStart w:id="7" w:name="mark_5"/>
      <w:r w:rsidR="00262DFF" w:rsidRPr="00B267C6">
        <w:rPr>
          <w:rStyle w:val="Strong"/>
          <w:rFonts w:asciiTheme="minorHAnsi" w:hAnsiTheme="minorHAnsi" w:cs="Arial"/>
          <w:color w:val="030303"/>
          <w:position w:val="17"/>
        </w:rPr>
        <w:t>Suspected or diagnosed cancers and cervical screening</w:t>
      </w:r>
      <w:bookmarkEnd w:id="7"/>
    </w:p>
    <w:p w14:paraId="082AF3B3" w14:textId="77777777" w:rsidR="00262DFF" w:rsidRPr="00B267C6" w:rsidRDefault="00262DFF" w:rsidP="00262DFF">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0" w:beforeAutospacing="0" w:after="0" w:afterAutospacing="0" w:line="315" w:lineRule="atLeast"/>
        <w:textAlignment w:val="center"/>
        <w:rPr>
          <w:rFonts w:asciiTheme="minorHAnsi" w:hAnsiTheme="minorHAnsi" w:cs="Arial"/>
          <w:color w:val="030303"/>
          <w:position w:val="17"/>
          <w:sz w:val="20"/>
          <w:szCs w:val="20"/>
        </w:rPr>
      </w:pPr>
    </w:p>
    <w:p w14:paraId="72D3D225" w14:textId="77777777" w:rsidR="00262DFF" w:rsidRPr="00B267C6" w:rsidRDefault="00262DFF" w:rsidP="00262DFF">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0" w:beforeAutospacing="0" w:after="0" w:afterAutospacing="0" w:line="315" w:lineRule="atLeast"/>
        <w:jc w:val="both"/>
        <w:textAlignment w:val="center"/>
        <w:rPr>
          <w:rFonts w:asciiTheme="minorHAnsi" w:hAnsiTheme="minorHAnsi" w:cs="Arial"/>
          <w:color w:val="030303"/>
          <w:position w:val="17"/>
          <w:sz w:val="20"/>
          <w:szCs w:val="20"/>
        </w:rPr>
      </w:pPr>
      <w:r w:rsidRPr="00B267C6">
        <w:rPr>
          <w:rFonts w:asciiTheme="minorHAnsi" w:hAnsiTheme="minorHAnsi" w:cs="Arial"/>
          <w:color w:val="030303"/>
          <w:position w:val="17"/>
          <w:sz w:val="20"/>
          <w:szCs w:val="20"/>
        </w:rPr>
        <w:t xml:space="preserve">While recognising the significant pressures on primary care, GPs should continue to refer patients who fulfil </w:t>
      </w:r>
      <w:hyperlink r:id="rId16" w:history="1">
        <w:r w:rsidRPr="00B267C6">
          <w:rPr>
            <w:rStyle w:val="Hyperlink"/>
            <w:rFonts w:asciiTheme="minorHAnsi" w:hAnsiTheme="minorHAnsi" w:cs="Arial"/>
            <w:color w:val="005EB8"/>
            <w:position w:val="17"/>
            <w:sz w:val="20"/>
            <w:szCs w:val="20"/>
          </w:rPr>
          <w:t>NG12 criteria</w:t>
        </w:r>
      </w:hyperlink>
      <w:r w:rsidRPr="00B267C6">
        <w:rPr>
          <w:rFonts w:asciiTheme="minorHAnsi" w:hAnsiTheme="minorHAnsi" w:cs="Arial"/>
          <w:color w:val="030303"/>
          <w:position w:val="17"/>
          <w:sz w:val="20"/>
          <w:szCs w:val="20"/>
        </w:rPr>
        <w:t>. Where referrals depart from normal practice, robust safety-netting must be in place.</w:t>
      </w:r>
    </w:p>
    <w:p w14:paraId="4331D784" w14:textId="77777777" w:rsidR="00262DFF" w:rsidRPr="00B267C6" w:rsidRDefault="00262DFF" w:rsidP="00262DFF">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300" w:beforeAutospacing="0" w:after="0" w:afterAutospacing="0" w:line="315" w:lineRule="atLeast"/>
        <w:jc w:val="both"/>
        <w:textAlignment w:val="center"/>
        <w:rPr>
          <w:rFonts w:asciiTheme="minorHAnsi" w:hAnsiTheme="minorHAnsi" w:cs="Arial"/>
          <w:color w:val="030303"/>
          <w:position w:val="17"/>
          <w:sz w:val="20"/>
          <w:szCs w:val="20"/>
        </w:rPr>
      </w:pPr>
      <w:r w:rsidRPr="00B267C6">
        <w:rPr>
          <w:rFonts w:asciiTheme="minorHAnsi" w:hAnsiTheme="minorHAnsi" w:cs="Arial"/>
          <w:color w:val="030303"/>
          <w:position w:val="17"/>
          <w:sz w:val="20"/>
          <w:szCs w:val="20"/>
        </w:rPr>
        <w:t xml:space="preserve">It is important to be </w:t>
      </w:r>
      <w:proofErr w:type="gramStart"/>
      <w:r w:rsidRPr="00B267C6">
        <w:rPr>
          <w:rFonts w:asciiTheme="minorHAnsi" w:hAnsiTheme="minorHAnsi" w:cs="Arial"/>
          <w:color w:val="030303"/>
          <w:position w:val="17"/>
          <w:sz w:val="20"/>
          <w:szCs w:val="20"/>
        </w:rPr>
        <w:t>alert</w:t>
      </w:r>
      <w:proofErr w:type="gramEnd"/>
      <w:r w:rsidRPr="00B267C6">
        <w:rPr>
          <w:rFonts w:asciiTheme="minorHAnsi" w:hAnsiTheme="minorHAnsi" w:cs="Arial"/>
          <w:color w:val="030303"/>
          <w:position w:val="17"/>
          <w:sz w:val="20"/>
          <w:szCs w:val="20"/>
        </w:rPr>
        <w:t xml:space="preserve"> to overlapping symptoms between lung cancer and COVID-19. Urgent referrals for suspected lung cancer are much reduced. The Clinical Expert Group has issued </w:t>
      </w:r>
      <w:hyperlink r:id="rId17" w:history="1">
        <w:r w:rsidRPr="00B267C6">
          <w:rPr>
            <w:rStyle w:val="Hyperlink"/>
            <w:rFonts w:asciiTheme="minorHAnsi" w:hAnsiTheme="minorHAnsi" w:cs="Arial"/>
            <w:color w:val="005EB8"/>
            <w:position w:val="17"/>
            <w:sz w:val="20"/>
            <w:szCs w:val="20"/>
          </w:rPr>
          <w:t>guidance</w:t>
        </w:r>
      </w:hyperlink>
      <w:r w:rsidRPr="00B267C6">
        <w:rPr>
          <w:rFonts w:asciiTheme="minorHAnsi" w:hAnsiTheme="minorHAnsi" w:cs="Arial"/>
          <w:color w:val="030303"/>
          <w:position w:val="17"/>
          <w:sz w:val="20"/>
          <w:szCs w:val="20"/>
        </w:rPr>
        <w:t xml:space="preserve"> on differentiating between symptoms of lung cancer and COVID-19.</w:t>
      </w:r>
    </w:p>
    <w:p w14:paraId="6A25C961" w14:textId="77777777" w:rsidR="00262DFF" w:rsidRPr="00B267C6" w:rsidRDefault="00262DFF" w:rsidP="00262DFF">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300" w:beforeAutospacing="0" w:after="0" w:afterAutospacing="0" w:line="315" w:lineRule="atLeast"/>
        <w:jc w:val="both"/>
        <w:textAlignment w:val="center"/>
        <w:rPr>
          <w:rFonts w:asciiTheme="minorHAnsi" w:hAnsiTheme="minorHAnsi" w:cs="Arial"/>
          <w:color w:val="030303"/>
          <w:position w:val="17"/>
          <w:sz w:val="20"/>
          <w:szCs w:val="20"/>
        </w:rPr>
      </w:pPr>
      <w:r w:rsidRPr="00B267C6">
        <w:rPr>
          <w:rFonts w:asciiTheme="minorHAnsi" w:hAnsiTheme="minorHAnsi" w:cs="Arial"/>
          <w:color w:val="030303"/>
          <w:position w:val="17"/>
          <w:sz w:val="20"/>
          <w:szCs w:val="20"/>
        </w:rPr>
        <w:t xml:space="preserve">Where possible Faecal Immunochemical Testing (FIT) should be completed alongside lower GI referrals to support effective triage. Guidance on how to embed clinical prioritisation by FIT can be found </w:t>
      </w:r>
      <w:hyperlink r:id="rId18" w:history="1">
        <w:r w:rsidRPr="00B267C6">
          <w:rPr>
            <w:rStyle w:val="Hyperlink"/>
            <w:rFonts w:asciiTheme="minorHAnsi" w:hAnsiTheme="minorHAnsi" w:cs="Arial"/>
            <w:color w:val="005EB8"/>
            <w:position w:val="17"/>
            <w:sz w:val="20"/>
            <w:szCs w:val="20"/>
          </w:rPr>
          <w:t>here</w:t>
        </w:r>
      </w:hyperlink>
      <w:r w:rsidRPr="00B267C6">
        <w:rPr>
          <w:rFonts w:asciiTheme="minorHAnsi" w:hAnsiTheme="minorHAnsi" w:cs="Arial"/>
          <w:color w:val="030303"/>
          <w:position w:val="17"/>
          <w:sz w:val="20"/>
          <w:szCs w:val="20"/>
        </w:rPr>
        <w:t>.</w:t>
      </w:r>
    </w:p>
    <w:p w14:paraId="46AB73B1" w14:textId="77777777" w:rsidR="00262DFF" w:rsidRPr="00B267C6" w:rsidRDefault="00262DFF" w:rsidP="00262DFF">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300" w:beforeAutospacing="0" w:after="0" w:afterAutospacing="0" w:line="315" w:lineRule="atLeast"/>
        <w:jc w:val="both"/>
        <w:textAlignment w:val="center"/>
        <w:rPr>
          <w:rFonts w:asciiTheme="minorHAnsi" w:hAnsiTheme="minorHAnsi" w:cs="Arial"/>
          <w:color w:val="030303"/>
          <w:position w:val="17"/>
          <w:sz w:val="20"/>
          <w:szCs w:val="20"/>
        </w:rPr>
      </w:pPr>
      <w:r w:rsidRPr="00B267C6">
        <w:rPr>
          <w:rFonts w:asciiTheme="minorHAnsi" w:hAnsiTheme="minorHAnsi" w:cs="Arial"/>
          <w:color w:val="030303"/>
          <w:position w:val="17"/>
          <w:sz w:val="20"/>
          <w:szCs w:val="20"/>
        </w:rPr>
        <w:t>Cervical screening in primary care should continue and people on the Shielded Patient List should be invited to attend screening appointments as normal.</w:t>
      </w:r>
    </w:p>
    <w:p w14:paraId="60A11676" w14:textId="688BCE36" w:rsidR="0068267C" w:rsidRDefault="0068267C" w:rsidP="0068267C"/>
    <w:p w14:paraId="5672EE6B" w14:textId="64DCABB4" w:rsidR="00B22200" w:rsidRDefault="00B22200" w:rsidP="00B22200">
      <w:pPr>
        <w:jc w:val="center"/>
      </w:pPr>
    </w:p>
    <w:p w14:paraId="00B41035" w14:textId="77777777" w:rsidR="00B22200" w:rsidRDefault="00B22200" w:rsidP="00B22200">
      <w:pPr>
        <w:jc w:val="center"/>
      </w:pPr>
    </w:p>
    <w:p w14:paraId="279DCE22" w14:textId="353ECE69" w:rsidR="00B22200" w:rsidRPr="004148DC" w:rsidRDefault="00B22200" w:rsidP="00B2220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rPr>
          <w:color w:val="000000"/>
        </w:rPr>
      </w:pPr>
      <w:r>
        <w:rPr>
          <w:b/>
          <w:bCs/>
        </w:rPr>
        <w:t>6.</w:t>
      </w:r>
      <w:r w:rsidRPr="00304460">
        <w:rPr>
          <w:b/>
          <w:bCs/>
        </w:rPr>
        <w:tab/>
      </w:r>
      <w:bookmarkStart w:id="8" w:name="mark_6"/>
      <w:r w:rsidRPr="004148DC">
        <w:rPr>
          <w:b/>
          <w:bCs/>
          <w:color w:val="000000"/>
        </w:rPr>
        <w:t>Pre-registration for offenders leaving prison </w:t>
      </w:r>
      <w:bookmarkEnd w:id="8"/>
    </w:p>
    <w:p w14:paraId="0311A2C3" w14:textId="6D86BBB9" w:rsidR="00B22200" w:rsidRPr="00B22200" w:rsidRDefault="00B22200" w:rsidP="00B2220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100" w:beforeAutospacing="1" w:after="100" w:afterAutospacing="1"/>
        <w:jc w:val="both"/>
        <w:rPr>
          <w:color w:val="000000"/>
          <w:sz w:val="20"/>
          <w:szCs w:val="20"/>
        </w:rPr>
      </w:pPr>
      <w:r w:rsidRPr="004148DC">
        <w:rPr>
          <w:color w:val="000000"/>
          <w:sz w:val="20"/>
          <w:szCs w:val="20"/>
        </w:rPr>
        <w:t>The contractual requirement of the </w:t>
      </w:r>
      <w:hyperlink r:id="rId19" w:history="1">
        <w:r w:rsidRPr="004148DC">
          <w:rPr>
            <w:rStyle w:val="Hyperlink"/>
            <w:sz w:val="20"/>
            <w:szCs w:val="20"/>
          </w:rPr>
          <w:t>General Medical Services (GMS) Contract 2017/18</w:t>
        </w:r>
      </w:hyperlink>
      <w:r w:rsidRPr="004148DC">
        <w:rPr>
          <w:color w:val="000000"/>
          <w:sz w:val="20"/>
          <w:szCs w:val="20"/>
        </w:rPr>
        <w:t> (page 64) to accept patients from the secure estate prior to their release has increased importance during the COVID-19 pandemic. Among other benefits, pre-registration may help the smooth rollout of the COVID-19 vaccine. For individuals leaving the secure estate between the first and second doses of their vaccination who have been registered with a community GP, their GP record will be updated with their vaccination status. GP practices are asked to ensure that processes are in place to meet this contractual requirement, with information on how to do this </w:t>
      </w:r>
      <w:hyperlink r:id="rId20" w:history="1">
        <w:r w:rsidRPr="004148DC">
          <w:rPr>
            <w:rStyle w:val="Hyperlink"/>
            <w:sz w:val="20"/>
            <w:szCs w:val="20"/>
          </w:rPr>
          <w:t>here</w:t>
        </w:r>
      </w:hyperlink>
      <w:r w:rsidRPr="004148DC">
        <w:rPr>
          <w:color w:val="000000"/>
          <w:sz w:val="20"/>
          <w:szCs w:val="20"/>
        </w:rPr>
        <w:t>. </w:t>
      </w:r>
    </w:p>
    <w:p w14:paraId="6813B278" w14:textId="1F3E8AA9" w:rsidR="001E2094" w:rsidRPr="00B22200" w:rsidRDefault="001E2094" w:rsidP="008119D7">
      <w:pPr>
        <w:rPr>
          <w:b/>
          <w:bCs/>
          <w:color w:val="FF0000"/>
          <w:sz w:val="24"/>
          <w:szCs w:val="24"/>
        </w:rPr>
      </w:pPr>
      <w:r w:rsidRPr="00B22200">
        <w:rPr>
          <w:b/>
          <w:bCs/>
          <w:color w:val="FF0000"/>
          <w:sz w:val="24"/>
          <w:szCs w:val="24"/>
        </w:rPr>
        <w:t>COVID UPDATE</w:t>
      </w:r>
    </w:p>
    <w:p w14:paraId="27941C68" w14:textId="3937CBFE" w:rsidR="001E2094" w:rsidRDefault="001E2094" w:rsidP="001E2094">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0" w:beforeAutospacing="0" w:after="0" w:afterAutospacing="0" w:line="315" w:lineRule="atLeast"/>
        <w:jc w:val="both"/>
        <w:textAlignment w:val="center"/>
        <w:rPr>
          <w:rFonts w:asciiTheme="minorHAnsi" w:hAnsiTheme="minorHAnsi" w:cs="Arial"/>
          <w:b/>
          <w:bCs/>
          <w:color w:val="030303"/>
          <w:position w:val="17"/>
        </w:rPr>
      </w:pPr>
      <w:r>
        <w:rPr>
          <w:rFonts w:asciiTheme="minorHAnsi" w:hAnsiTheme="minorHAnsi" w:cs="Arial"/>
          <w:b/>
          <w:bCs/>
          <w:color w:val="030303"/>
          <w:position w:val="17"/>
        </w:rPr>
        <w:t>1.</w:t>
      </w:r>
      <w:r>
        <w:rPr>
          <w:rFonts w:asciiTheme="minorHAnsi" w:hAnsiTheme="minorHAnsi" w:cs="Arial"/>
          <w:b/>
          <w:bCs/>
          <w:color w:val="030303"/>
          <w:position w:val="17"/>
        </w:rPr>
        <w:tab/>
      </w:r>
      <w:bookmarkStart w:id="9" w:name="mark_7"/>
      <w:r w:rsidRPr="001E2094">
        <w:rPr>
          <w:rFonts w:asciiTheme="minorHAnsi" w:hAnsiTheme="minorHAnsi" w:cs="Arial"/>
          <w:b/>
          <w:bCs/>
          <w:color w:val="030303"/>
          <w:position w:val="17"/>
        </w:rPr>
        <w:t>COVID Vaccination Deployment</w:t>
      </w:r>
      <w:bookmarkEnd w:id="9"/>
      <w:r w:rsidR="00B22200">
        <w:rPr>
          <w:rFonts w:asciiTheme="minorHAnsi" w:hAnsiTheme="minorHAnsi" w:cs="Arial"/>
          <w:b/>
          <w:bCs/>
          <w:color w:val="030303"/>
          <w:position w:val="17"/>
        </w:rPr>
        <w:t xml:space="preserve"> NHSE Update</w:t>
      </w:r>
    </w:p>
    <w:p w14:paraId="531C5C1F" w14:textId="77777777" w:rsidR="001E2094" w:rsidRPr="001E2094" w:rsidRDefault="001E2094" w:rsidP="001E2094">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0" w:beforeAutospacing="0" w:after="0" w:afterAutospacing="0" w:line="315" w:lineRule="atLeast"/>
        <w:jc w:val="both"/>
        <w:textAlignment w:val="center"/>
        <w:rPr>
          <w:rFonts w:asciiTheme="minorHAnsi" w:hAnsiTheme="minorHAnsi" w:cs="Arial"/>
          <w:b/>
          <w:bCs/>
          <w:color w:val="030303"/>
          <w:position w:val="17"/>
        </w:rPr>
      </w:pPr>
    </w:p>
    <w:p w14:paraId="5768ABB2" w14:textId="0A9D0099" w:rsidR="001E2094" w:rsidRPr="00982160" w:rsidRDefault="001E2094" w:rsidP="001E2094">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0" w:beforeAutospacing="0" w:after="0" w:afterAutospacing="0" w:line="315" w:lineRule="atLeast"/>
        <w:jc w:val="both"/>
        <w:textAlignment w:val="center"/>
        <w:rPr>
          <w:rFonts w:asciiTheme="minorHAnsi" w:hAnsiTheme="minorHAnsi" w:cs="Arial"/>
          <w:color w:val="030303"/>
          <w:position w:val="17"/>
          <w:sz w:val="20"/>
          <w:szCs w:val="20"/>
        </w:rPr>
      </w:pPr>
      <w:r w:rsidRPr="00982160">
        <w:rPr>
          <w:rFonts w:asciiTheme="minorHAnsi" w:hAnsiTheme="minorHAnsi" w:cs="Arial"/>
          <w:color w:val="030303"/>
          <w:position w:val="17"/>
          <w:sz w:val="20"/>
          <w:szCs w:val="20"/>
        </w:rPr>
        <w:t xml:space="preserve">The current deployment approach taken by the NHS is to offer COVID-19 vaccination as set out by the </w:t>
      </w:r>
      <w:hyperlink r:id="rId21" w:history="1">
        <w:r w:rsidRPr="00982160">
          <w:rPr>
            <w:rStyle w:val="Hyperlink"/>
            <w:rFonts w:asciiTheme="minorHAnsi" w:hAnsiTheme="minorHAnsi" w:cs="Arial"/>
            <w:color w:val="005EB8"/>
            <w:position w:val="17"/>
            <w:sz w:val="20"/>
            <w:szCs w:val="20"/>
          </w:rPr>
          <w:t>JCVI recommendations</w:t>
        </w:r>
      </w:hyperlink>
      <w:r w:rsidRPr="00982160">
        <w:rPr>
          <w:rFonts w:asciiTheme="minorHAnsi" w:hAnsiTheme="minorHAnsi" w:cs="Arial"/>
          <w:color w:val="030303"/>
          <w:position w:val="17"/>
          <w:sz w:val="20"/>
          <w:szCs w:val="20"/>
        </w:rPr>
        <w:t xml:space="preserve">, and in sequential order by cohort. </w:t>
      </w:r>
      <w:proofErr w:type="gramStart"/>
      <w:r w:rsidRPr="00982160">
        <w:rPr>
          <w:rFonts w:asciiTheme="minorHAnsi" w:hAnsiTheme="minorHAnsi" w:cs="Arial"/>
          <w:color w:val="030303"/>
          <w:position w:val="17"/>
          <w:sz w:val="20"/>
          <w:szCs w:val="20"/>
        </w:rPr>
        <w:t>In order to</w:t>
      </w:r>
      <w:proofErr w:type="gramEnd"/>
      <w:r w:rsidRPr="00982160">
        <w:rPr>
          <w:rFonts w:asciiTheme="minorHAnsi" w:hAnsiTheme="minorHAnsi" w:cs="Arial"/>
          <w:color w:val="030303"/>
          <w:position w:val="17"/>
          <w:sz w:val="20"/>
          <w:szCs w:val="20"/>
        </w:rPr>
        <w:t xml:space="preserve"> support achievement of a vaccination offer to all individuals within JCVI cohorts 1-4 by 15 February 2021, and guided by the principles of minimising wastage, reducing inequality of access, and maximising pace, </w:t>
      </w:r>
      <w:r w:rsidRPr="00982160">
        <w:rPr>
          <w:rStyle w:val="Strong"/>
          <w:rFonts w:asciiTheme="minorHAnsi" w:hAnsiTheme="minorHAnsi" w:cs="Arial"/>
          <w:color w:val="030303"/>
          <w:position w:val="17"/>
          <w:sz w:val="20"/>
          <w:szCs w:val="20"/>
        </w:rPr>
        <w:t>we are now moving to a more flexible approach across cohorts 1-4.</w:t>
      </w:r>
    </w:p>
    <w:p w14:paraId="658FBB01" w14:textId="17E93176" w:rsidR="001E2094" w:rsidRDefault="001E2094" w:rsidP="001E2094">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0" w:beforeAutospacing="0" w:after="0" w:afterAutospacing="0" w:line="315" w:lineRule="atLeast"/>
        <w:jc w:val="both"/>
        <w:textAlignment w:val="center"/>
        <w:rPr>
          <w:rFonts w:asciiTheme="minorHAnsi" w:hAnsiTheme="minorHAnsi" w:cs="Arial"/>
          <w:color w:val="030303"/>
          <w:position w:val="17"/>
          <w:sz w:val="20"/>
          <w:szCs w:val="20"/>
        </w:rPr>
      </w:pPr>
      <w:r w:rsidRPr="00982160">
        <w:rPr>
          <w:rFonts w:asciiTheme="minorHAnsi" w:hAnsiTheme="minorHAnsi" w:cs="Arial"/>
          <w:color w:val="030303"/>
          <w:position w:val="17"/>
          <w:sz w:val="20"/>
          <w:szCs w:val="20"/>
        </w:rPr>
        <w:t>You should continue to prioritise vaccinating people from JCVI priority cohorts 1 and 2. We continue to expect all local vaccination services to administer the first dose of the COVID-19 vaccine to care home residents and staff in the older adult care homes for which the PCN is responsible by the end of this week (Sunday 24 January) at the latest, and to continue to prioritise over 80s including those who are truly housebound.</w:t>
      </w:r>
    </w:p>
    <w:p w14:paraId="681B3064" w14:textId="77777777" w:rsidR="001E2094" w:rsidRPr="00982160" w:rsidRDefault="001E2094" w:rsidP="001E2094">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0" w:beforeAutospacing="0" w:after="0" w:afterAutospacing="0" w:line="315" w:lineRule="atLeast"/>
        <w:jc w:val="both"/>
        <w:textAlignment w:val="center"/>
        <w:rPr>
          <w:rFonts w:asciiTheme="minorHAnsi" w:hAnsiTheme="minorHAnsi" w:cs="Arial"/>
          <w:color w:val="030303"/>
          <w:position w:val="17"/>
          <w:sz w:val="20"/>
          <w:szCs w:val="20"/>
        </w:rPr>
      </w:pPr>
    </w:p>
    <w:p w14:paraId="5606126B" w14:textId="761C52D4" w:rsidR="001E2094" w:rsidRDefault="001E2094" w:rsidP="001E2094">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0" w:beforeAutospacing="0" w:after="0" w:afterAutospacing="0" w:line="315" w:lineRule="atLeast"/>
        <w:jc w:val="both"/>
        <w:textAlignment w:val="center"/>
        <w:rPr>
          <w:rFonts w:asciiTheme="minorHAnsi" w:hAnsiTheme="minorHAnsi" w:cs="Arial"/>
          <w:color w:val="030303"/>
          <w:position w:val="17"/>
          <w:sz w:val="20"/>
          <w:szCs w:val="20"/>
        </w:rPr>
      </w:pPr>
      <w:r w:rsidRPr="00982160">
        <w:rPr>
          <w:rFonts w:asciiTheme="minorHAnsi" w:hAnsiTheme="minorHAnsi" w:cs="Arial"/>
          <w:color w:val="030303"/>
          <w:position w:val="17"/>
          <w:sz w:val="20"/>
          <w:szCs w:val="20"/>
        </w:rPr>
        <w:t>It is then permissible to offer vaccination to cohort 3 (</w:t>
      </w:r>
      <w:proofErr w:type="gramStart"/>
      <w:r w:rsidRPr="00982160">
        <w:rPr>
          <w:rFonts w:asciiTheme="minorHAnsi" w:hAnsiTheme="minorHAnsi" w:cs="Arial"/>
          <w:color w:val="030303"/>
          <w:position w:val="17"/>
          <w:sz w:val="20"/>
          <w:szCs w:val="20"/>
        </w:rPr>
        <w:t>75-79 year</w:t>
      </w:r>
      <w:proofErr w:type="gramEnd"/>
      <w:r w:rsidRPr="00982160">
        <w:rPr>
          <w:rFonts w:asciiTheme="minorHAnsi" w:hAnsiTheme="minorHAnsi" w:cs="Arial"/>
          <w:color w:val="030303"/>
          <w:position w:val="17"/>
          <w:sz w:val="20"/>
          <w:szCs w:val="20"/>
        </w:rPr>
        <w:t xml:space="preserve"> olds) and cohort 4 (70-74 year olds and the Clinically Extremely Vulnerable under 70). Advice to support vaccination of the Clinically Extremely Vulnerable will follow shortly. It is </w:t>
      </w:r>
      <w:proofErr w:type="gramStart"/>
      <w:r w:rsidRPr="00982160">
        <w:rPr>
          <w:rFonts w:asciiTheme="minorHAnsi" w:hAnsiTheme="minorHAnsi" w:cs="Arial"/>
          <w:color w:val="030303"/>
          <w:position w:val="17"/>
          <w:sz w:val="20"/>
          <w:szCs w:val="20"/>
        </w:rPr>
        <w:t>absolutely permissible</w:t>
      </w:r>
      <w:proofErr w:type="gramEnd"/>
      <w:r w:rsidRPr="00982160">
        <w:rPr>
          <w:rFonts w:asciiTheme="minorHAnsi" w:hAnsiTheme="minorHAnsi" w:cs="Arial"/>
          <w:color w:val="030303"/>
          <w:position w:val="17"/>
          <w:sz w:val="20"/>
          <w:szCs w:val="20"/>
        </w:rPr>
        <w:t xml:space="preserve">, and indeed encouraged, to have reserve lists of recipients for every clinic, who can come in at short notice if vaccine is still available. It will make sense to have these reserve lists drawn from the ‘next cohort’ on the list – </w:t>
      </w:r>
      <w:proofErr w:type="gramStart"/>
      <w:r w:rsidRPr="00982160">
        <w:rPr>
          <w:rFonts w:asciiTheme="minorHAnsi" w:hAnsiTheme="minorHAnsi" w:cs="Arial"/>
          <w:color w:val="030303"/>
          <w:position w:val="17"/>
          <w:sz w:val="20"/>
          <w:szCs w:val="20"/>
        </w:rPr>
        <w:t>at the moment</w:t>
      </w:r>
      <w:proofErr w:type="gramEnd"/>
      <w:r w:rsidRPr="00982160">
        <w:rPr>
          <w:rFonts w:asciiTheme="minorHAnsi" w:hAnsiTheme="minorHAnsi" w:cs="Arial"/>
          <w:color w:val="030303"/>
          <w:position w:val="17"/>
          <w:sz w:val="20"/>
          <w:szCs w:val="20"/>
        </w:rPr>
        <w:t xml:space="preserve"> either cohort 3 or cohort 4.</w:t>
      </w:r>
    </w:p>
    <w:p w14:paraId="37A27B70" w14:textId="77777777" w:rsidR="001E2094" w:rsidRPr="00982160" w:rsidRDefault="001E2094" w:rsidP="001E2094">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0" w:beforeAutospacing="0" w:after="0" w:afterAutospacing="0" w:line="315" w:lineRule="atLeast"/>
        <w:jc w:val="both"/>
        <w:textAlignment w:val="center"/>
        <w:rPr>
          <w:rFonts w:asciiTheme="minorHAnsi" w:hAnsiTheme="minorHAnsi" w:cs="Arial"/>
          <w:color w:val="030303"/>
          <w:position w:val="17"/>
          <w:sz w:val="20"/>
          <w:szCs w:val="20"/>
        </w:rPr>
      </w:pPr>
    </w:p>
    <w:p w14:paraId="41FD72C8" w14:textId="1EF97C35" w:rsidR="001E2094" w:rsidRDefault="001E2094" w:rsidP="001E2094">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0" w:beforeAutospacing="0" w:after="0" w:afterAutospacing="0" w:line="315" w:lineRule="atLeast"/>
        <w:jc w:val="both"/>
        <w:textAlignment w:val="center"/>
        <w:rPr>
          <w:rFonts w:asciiTheme="minorHAnsi" w:hAnsiTheme="minorHAnsi" w:cs="Arial"/>
          <w:color w:val="030303"/>
          <w:position w:val="17"/>
          <w:sz w:val="20"/>
          <w:szCs w:val="20"/>
        </w:rPr>
      </w:pPr>
      <w:r w:rsidRPr="00982160">
        <w:rPr>
          <w:rFonts w:asciiTheme="minorHAnsi" w:hAnsiTheme="minorHAnsi" w:cs="Arial"/>
          <w:color w:val="030303"/>
          <w:position w:val="17"/>
          <w:sz w:val="20"/>
          <w:szCs w:val="20"/>
        </w:rPr>
        <w:t>In line with JCVI guidance and the statement from the Chief Medical Officers on second doses published on 30 December, vaccine supplied should only be used to deliver first doses of vaccine, with second doses being scheduled for the 12th week. It is supplied on the basis that it will be used immediately for vaccination of patients and not stored, since weekly deliveries are now being made.</w:t>
      </w:r>
    </w:p>
    <w:p w14:paraId="641EB9F2" w14:textId="77777777" w:rsidR="001E2094" w:rsidRPr="00982160" w:rsidRDefault="001E2094" w:rsidP="001E2094">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0" w:beforeAutospacing="0" w:after="0" w:afterAutospacing="0" w:line="315" w:lineRule="atLeast"/>
        <w:jc w:val="both"/>
        <w:textAlignment w:val="center"/>
        <w:rPr>
          <w:rFonts w:asciiTheme="minorHAnsi" w:hAnsiTheme="minorHAnsi" w:cs="Arial"/>
          <w:color w:val="030303"/>
          <w:position w:val="17"/>
          <w:sz w:val="20"/>
          <w:szCs w:val="20"/>
        </w:rPr>
      </w:pPr>
    </w:p>
    <w:p w14:paraId="33292951" w14:textId="6F664B3B" w:rsidR="001E2094" w:rsidRDefault="001E2094" w:rsidP="001E2094">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0" w:beforeAutospacing="0" w:after="0" w:afterAutospacing="0" w:line="315" w:lineRule="atLeast"/>
        <w:jc w:val="both"/>
        <w:textAlignment w:val="center"/>
        <w:rPr>
          <w:rStyle w:val="Strong"/>
          <w:rFonts w:asciiTheme="minorHAnsi" w:hAnsiTheme="minorHAnsi" w:cs="Arial"/>
          <w:color w:val="030303"/>
          <w:position w:val="17"/>
          <w:sz w:val="20"/>
          <w:szCs w:val="20"/>
        </w:rPr>
      </w:pPr>
      <w:r w:rsidRPr="00982160">
        <w:rPr>
          <w:rStyle w:val="Strong"/>
          <w:rFonts w:asciiTheme="minorHAnsi" w:hAnsiTheme="minorHAnsi" w:cs="Arial"/>
          <w:color w:val="030303"/>
          <w:position w:val="17"/>
          <w:sz w:val="20"/>
          <w:szCs w:val="20"/>
        </w:rPr>
        <w:t>What does this look like in practice?</w:t>
      </w:r>
    </w:p>
    <w:p w14:paraId="42610494" w14:textId="77777777" w:rsidR="001E2094" w:rsidRPr="00982160" w:rsidRDefault="001E2094" w:rsidP="001E2094">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0" w:beforeAutospacing="0" w:after="0" w:afterAutospacing="0" w:line="315" w:lineRule="atLeast"/>
        <w:jc w:val="both"/>
        <w:textAlignment w:val="center"/>
        <w:rPr>
          <w:rFonts w:asciiTheme="minorHAnsi" w:hAnsiTheme="minorHAnsi" w:cs="Arial"/>
          <w:color w:val="030303"/>
          <w:position w:val="17"/>
          <w:sz w:val="20"/>
          <w:szCs w:val="20"/>
        </w:rPr>
      </w:pPr>
    </w:p>
    <w:p w14:paraId="4D22C6EA" w14:textId="77777777" w:rsidR="001E2094" w:rsidRPr="00982160" w:rsidRDefault="001E2094" w:rsidP="001E2094">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315" w:lineRule="atLeast"/>
        <w:jc w:val="both"/>
        <w:textAlignment w:val="center"/>
        <w:rPr>
          <w:rFonts w:eastAsia="Times New Roman" w:cs="Arial"/>
          <w:color w:val="030303"/>
          <w:position w:val="17"/>
          <w:sz w:val="20"/>
          <w:szCs w:val="20"/>
        </w:rPr>
      </w:pPr>
      <w:r w:rsidRPr="00982160">
        <w:rPr>
          <w:rStyle w:val="Strong"/>
          <w:rFonts w:eastAsia="Times New Roman" w:cs="Arial"/>
          <w:color w:val="030303"/>
          <w:position w:val="17"/>
          <w:sz w:val="20"/>
          <w:szCs w:val="20"/>
        </w:rPr>
        <w:t>Minimising wastage</w:t>
      </w:r>
    </w:p>
    <w:p w14:paraId="4A35EB94" w14:textId="09D057B4" w:rsidR="001E2094" w:rsidRDefault="001E2094" w:rsidP="001E2094">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0" w:beforeAutospacing="0" w:after="0" w:afterAutospacing="0" w:line="315" w:lineRule="atLeast"/>
        <w:jc w:val="both"/>
        <w:textAlignment w:val="center"/>
        <w:rPr>
          <w:rFonts w:asciiTheme="minorHAnsi" w:hAnsiTheme="minorHAnsi" w:cs="Arial"/>
          <w:color w:val="030303"/>
          <w:position w:val="17"/>
          <w:sz w:val="20"/>
          <w:szCs w:val="20"/>
        </w:rPr>
      </w:pPr>
      <w:r w:rsidRPr="00982160">
        <w:rPr>
          <w:rFonts w:asciiTheme="minorHAnsi" w:hAnsiTheme="minorHAnsi" w:cs="Arial"/>
          <w:color w:val="030303"/>
          <w:position w:val="17"/>
          <w:sz w:val="20"/>
          <w:szCs w:val="20"/>
        </w:rPr>
        <w:t xml:space="preserve">Vaccine should not be wasted. If there is vaccine supply and deployment capacity, but a degree of uncertainty on whether clinics will be full, further invitations can be made to individuals from the next eligible cohort (across cohorts 1-4) </w:t>
      </w:r>
      <w:proofErr w:type="gramStart"/>
      <w:r w:rsidRPr="00982160">
        <w:rPr>
          <w:rFonts w:asciiTheme="minorHAnsi" w:hAnsiTheme="minorHAnsi" w:cs="Arial"/>
          <w:color w:val="030303"/>
          <w:position w:val="17"/>
          <w:sz w:val="20"/>
          <w:szCs w:val="20"/>
        </w:rPr>
        <w:t>in order to</w:t>
      </w:r>
      <w:proofErr w:type="gramEnd"/>
      <w:r w:rsidRPr="00982160">
        <w:rPr>
          <w:rFonts w:asciiTheme="minorHAnsi" w:hAnsiTheme="minorHAnsi" w:cs="Arial"/>
          <w:color w:val="030303"/>
          <w:position w:val="17"/>
          <w:sz w:val="20"/>
          <w:szCs w:val="20"/>
        </w:rPr>
        <w:t xml:space="preserve"> utilise available supply. Vaccination beyond the current cohorts (1-4) can be offered if there is a risk that current vaccine stock will become unviable if not used.</w:t>
      </w:r>
    </w:p>
    <w:p w14:paraId="18C13F41" w14:textId="77777777" w:rsidR="001E2094" w:rsidRPr="00982160" w:rsidRDefault="001E2094" w:rsidP="001E2094">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0" w:beforeAutospacing="0" w:after="0" w:afterAutospacing="0" w:line="315" w:lineRule="atLeast"/>
        <w:jc w:val="both"/>
        <w:textAlignment w:val="center"/>
        <w:rPr>
          <w:rFonts w:asciiTheme="minorHAnsi" w:hAnsiTheme="minorHAnsi" w:cs="Arial"/>
          <w:color w:val="030303"/>
          <w:position w:val="17"/>
          <w:sz w:val="20"/>
          <w:szCs w:val="20"/>
        </w:rPr>
      </w:pPr>
    </w:p>
    <w:p w14:paraId="119B6E2D" w14:textId="77777777" w:rsidR="001E2094" w:rsidRPr="00982160" w:rsidRDefault="001E2094" w:rsidP="001E2094">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315" w:lineRule="atLeast"/>
        <w:jc w:val="both"/>
        <w:textAlignment w:val="center"/>
        <w:rPr>
          <w:rFonts w:eastAsia="Times New Roman" w:cs="Arial"/>
          <w:color w:val="030303"/>
          <w:position w:val="17"/>
          <w:sz w:val="20"/>
          <w:szCs w:val="20"/>
        </w:rPr>
      </w:pPr>
      <w:r w:rsidRPr="00982160">
        <w:rPr>
          <w:rStyle w:val="Strong"/>
          <w:rFonts w:eastAsia="Times New Roman" w:cs="Arial"/>
          <w:color w:val="030303"/>
          <w:position w:val="17"/>
          <w:sz w:val="20"/>
          <w:szCs w:val="20"/>
        </w:rPr>
        <w:lastRenderedPageBreak/>
        <w:t>Reducing inequality</w:t>
      </w:r>
    </w:p>
    <w:p w14:paraId="12DE6CEC" w14:textId="48A45031" w:rsidR="001E2094" w:rsidRDefault="001E2094" w:rsidP="001E2094">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0" w:beforeAutospacing="0" w:after="0" w:afterAutospacing="0" w:line="315" w:lineRule="atLeast"/>
        <w:jc w:val="both"/>
        <w:textAlignment w:val="center"/>
        <w:rPr>
          <w:rFonts w:asciiTheme="minorHAnsi" w:hAnsiTheme="minorHAnsi" w:cs="Arial"/>
          <w:color w:val="030303"/>
          <w:position w:val="17"/>
          <w:sz w:val="20"/>
          <w:szCs w:val="20"/>
        </w:rPr>
      </w:pPr>
      <w:r w:rsidRPr="00982160">
        <w:rPr>
          <w:rFonts w:asciiTheme="minorHAnsi" w:hAnsiTheme="minorHAnsi" w:cs="Arial"/>
          <w:color w:val="030303"/>
          <w:position w:val="17"/>
          <w:sz w:val="20"/>
          <w:szCs w:val="20"/>
        </w:rPr>
        <w:t>Working closely with local partners, deployment should continue to minimise inequalities between different communities. Please do as much as you can to get vaccination to your highest risk populations, mindful of deprivation, ethnicity and all factors impacting COVID risk. This increased flexibility offers an opportunity to tackle inequity and begin reaching health inclusion groups. Communities with greater levels of vaccine hesitancy or other challenges around engagement and uptake will take longer to reach, so all local areas should ensure engagement is either underway or begins now.</w:t>
      </w:r>
    </w:p>
    <w:p w14:paraId="62A54EC0" w14:textId="77777777" w:rsidR="001E2094" w:rsidRPr="00982160" w:rsidRDefault="001E2094" w:rsidP="001E2094">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0" w:beforeAutospacing="0" w:after="0" w:afterAutospacing="0" w:line="315" w:lineRule="atLeast"/>
        <w:jc w:val="both"/>
        <w:textAlignment w:val="center"/>
        <w:rPr>
          <w:rFonts w:asciiTheme="minorHAnsi" w:hAnsiTheme="minorHAnsi" w:cs="Arial"/>
          <w:color w:val="030303"/>
          <w:position w:val="17"/>
          <w:sz w:val="20"/>
          <w:szCs w:val="20"/>
        </w:rPr>
      </w:pPr>
    </w:p>
    <w:p w14:paraId="7A055287" w14:textId="7ACB0B9D" w:rsidR="001E2094" w:rsidRDefault="001E2094" w:rsidP="001E2094">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0" w:beforeAutospacing="0" w:after="0" w:afterAutospacing="0" w:line="315" w:lineRule="atLeast"/>
        <w:jc w:val="both"/>
        <w:textAlignment w:val="center"/>
        <w:rPr>
          <w:rFonts w:asciiTheme="minorHAnsi" w:hAnsiTheme="minorHAnsi" w:cs="Arial"/>
          <w:color w:val="030303"/>
          <w:position w:val="17"/>
          <w:sz w:val="20"/>
          <w:szCs w:val="20"/>
        </w:rPr>
      </w:pPr>
      <w:r w:rsidRPr="00982160">
        <w:rPr>
          <w:rFonts w:asciiTheme="minorHAnsi" w:hAnsiTheme="minorHAnsi" w:cs="Arial"/>
          <w:color w:val="030303"/>
          <w:position w:val="17"/>
          <w:sz w:val="20"/>
          <w:szCs w:val="20"/>
        </w:rPr>
        <w:t xml:space="preserve">Every effort must be made to reach these groups using targeted local outreach and community champions as informed by local Equalities and Health Inequalities Assessments (EHIAs). Please ensure you work with your system partners, especially Local Authorities and Voluntary and Community Sectors in your area to ensure health inclusion. Please help us make sure no one gets left behind, and </w:t>
      </w:r>
      <w:proofErr w:type="spellStart"/>
      <w:r w:rsidRPr="00982160">
        <w:rPr>
          <w:rFonts w:asciiTheme="minorHAnsi" w:hAnsiTheme="minorHAnsi" w:cs="Arial"/>
          <w:color w:val="030303"/>
          <w:position w:val="17"/>
          <w:sz w:val="20"/>
          <w:szCs w:val="20"/>
        </w:rPr>
        <w:t>feed back</w:t>
      </w:r>
      <w:proofErr w:type="spellEnd"/>
      <w:r w:rsidRPr="00982160">
        <w:rPr>
          <w:rFonts w:asciiTheme="minorHAnsi" w:hAnsiTheme="minorHAnsi" w:cs="Arial"/>
          <w:color w:val="030303"/>
          <w:position w:val="17"/>
          <w:sz w:val="20"/>
          <w:szCs w:val="20"/>
        </w:rPr>
        <w:t xml:space="preserve"> on how the central team can help support excellent local work to ensure equity in vaccination rates.</w:t>
      </w:r>
    </w:p>
    <w:p w14:paraId="5A898D81" w14:textId="77777777" w:rsidR="001E2094" w:rsidRPr="00982160" w:rsidRDefault="001E2094" w:rsidP="001E2094">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0" w:beforeAutospacing="0" w:after="0" w:afterAutospacing="0" w:line="315" w:lineRule="atLeast"/>
        <w:jc w:val="both"/>
        <w:textAlignment w:val="center"/>
        <w:rPr>
          <w:rFonts w:asciiTheme="minorHAnsi" w:hAnsiTheme="minorHAnsi" w:cs="Arial"/>
          <w:color w:val="030303"/>
          <w:position w:val="17"/>
          <w:sz w:val="20"/>
          <w:szCs w:val="20"/>
        </w:rPr>
      </w:pPr>
    </w:p>
    <w:p w14:paraId="393BF91C" w14:textId="77777777" w:rsidR="001E2094" w:rsidRPr="00982160" w:rsidRDefault="001E2094" w:rsidP="001E2094">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315" w:lineRule="atLeast"/>
        <w:jc w:val="both"/>
        <w:textAlignment w:val="center"/>
        <w:rPr>
          <w:rFonts w:eastAsia="Times New Roman" w:cs="Arial"/>
          <w:color w:val="030303"/>
          <w:position w:val="17"/>
          <w:sz w:val="20"/>
          <w:szCs w:val="20"/>
        </w:rPr>
      </w:pPr>
      <w:r w:rsidRPr="00982160">
        <w:rPr>
          <w:rStyle w:val="Strong"/>
          <w:rFonts w:eastAsia="Times New Roman" w:cs="Arial"/>
          <w:color w:val="030303"/>
          <w:position w:val="17"/>
          <w:sz w:val="20"/>
          <w:szCs w:val="20"/>
        </w:rPr>
        <w:t>Maximising pace</w:t>
      </w:r>
    </w:p>
    <w:p w14:paraId="4CD06895" w14:textId="77777777" w:rsidR="001E2094" w:rsidRDefault="001E2094" w:rsidP="001E2094">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0" w:beforeAutospacing="0" w:after="0" w:afterAutospacing="0" w:line="315" w:lineRule="atLeast"/>
        <w:jc w:val="both"/>
        <w:textAlignment w:val="center"/>
        <w:rPr>
          <w:rFonts w:asciiTheme="minorHAnsi" w:hAnsiTheme="minorHAnsi" w:cs="Arial"/>
          <w:color w:val="030303"/>
          <w:position w:val="17"/>
          <w:sz w:val="20"/>
          <w:szCs w:val="20"/>
        </w:rPr>
      </w:pPr>
      <w:r w:rsidRPr="00982160">
        <w:rPr>
          <w:rFonts w:asciiTheme="minorHAnsi" w:hAnsiTheme="minorHAnsi" w:cs="Arial"/>
          <w:color w:val="030303"/>
          <w:position w:val="17"/>
          <w:sz w:val="20"/>
          <w:szCs w:val="20"/>
        </w:rPr>
        <w:t>Where there is vaccine supply and deployment capacity, this flexibility allows a pragmatic operational approach that enables opportunistic vaccination within cohorts 1-4, such as vaccinating partners of similar age from cohorts 3 &amp; 4 who attend together, or those living in multigenerational households.</w:t>
      </w:r>
    </w:p>
    <w:p w14:paraId="5F659742" w14:textId="16DE5F61" w:rsidR="001E2094" w:rsidRPr="00B22200" w:rsidRDefault="001E2094" w:rsidP="00B22200">
      <w:pPr>
        <w:pStyle w:val="NormalWeb"/>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before="0" w:beforeAutospacing="0" w:after="0" w:afterAutospacing="0" w:line="315" w:lineRule="atLeast"/>
        <w:jc w:val="both"/>
        <w:textAlignment w:val="center"/>
        <w:rPr>
          <w:rFonts w:asciiTheme="minorHAnsi" w:hAnsiTheme="minorHAnsi" w:cs="Arial"/>
          <w:color w:val="030303"/>
          <w:position w:val="17"/>
          <w:sz w:val="20"/>
          <w:szCs w:val="20"/>
        </w:rPr>
      </w:pPr>
      <w:r w:rsidRPr="00982160">
        <w:rPr>
          <w:rFonts w:asciiTheme="minorHAnsi" w:hAnsiTheme="minorHAnsi" w:cs="Arial"/>
          <w:color w:val="030303"/>
          <w:position w:val="17"/>
          <w:sz w:val="20"/>
          <w:szCs w:val="20"/>
        </w:rPr>
        <w:t>As before, GPs and other primary care providers may receive queries from patients who belong in the new cohorts asking about getting the vaccine. The messaging remains the same for the public – that the NHS will be in touch when it is time for your vaccine. Please continue to reiterate these messages</w:t>
      </w:r>
      <w:r>
        <w:rPr>
          <w:rFonts w:ascii="Arial" w:hAnsi="Arial" w:cs="Arial"/>
          <w:color w:val="030303"/>
          <w:position w:val="17"/>
          <w:sz w:val="20"/>
          <w:szCs w:val="20"/>
        </w:rPr>
        <w:t>.</w:t>
      </w:r>
    </w:p>
    <w:p w14:paraId="66BAA0C6" w14:textId="77777777" w:rsidR="001E2094" w:rsidRPr="001E2094" w:rsidRDefault="001E2094" w:rsidP="008119D7">
      <w:pPr>
        <w:rPr>
          <w:b/>
          <w:bCs/>
          <w:color w:val="FF0000"/>
        </w:rPr>
      </w:pPr>
    </w:p>
    <w:p w14:paraId="7E567501" w14:textId="00CD6B5D" w:rsidR="00B22200" w:rsidRPr="00B22200" w:rsidRDefault="00C116BC" w:rsidP="00B22200">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 xml:space="preserve">Please note that the LMC are unable to accept calls or hold communications with patients, we are GP representatives, and we would respectfully ask that Practices do not advise patients to contact </w:t>
      </w:r>
      <w:proofErr w:type="gramStart"/>
      <w:r>
        <w:rPr>
          <w:b/>
          <w:bCs/>
          <w:color w:val="FF0000"/>
        </w:rPr>
        <w:t>us</w:t>
      </w:r>
      <w:proofErr w:type="gramEnd"/>
      <w:r>
        <w:rPr>
          <w:b/>
          <w:bCs/>
          <w:color w:val="FF0000"/>
        </w:rPr>
        <w:t xml:space="preserve">  </w:t>
      </w:r>
    </w:p>
    <w:p w14:paraId="4C3A2413" w14:textId="6BFDC076" w:rsidR="00B22200" w:rsidRPr="00B22200" w:rsidRDefault="00C116BC" w:rsidP="00B2220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sidRPr="00B42CEB">
        <w:rPr>
          <w:b/>
          <w:bCs/>
        </w:rPr>
        <w:t xml:space="preserve">Please note our office contact times remain 10:00-16:00 and any queries on the day should be directed to </w:t>
      </w:r>
      <w:hyperlink r:id="rId22" w:history="1">
        <w:r w:rsidRPr="00B42CEB">
          <w:rPr>
            <w:rStyle w:val="Hyperlink"/>
            <w:b/>
            <w:bCs/>
            <w:u w:val="none"/>
          </w:rPr>
          <w:t>birmingham.lmc@nhs.net</w:t>
        </w:r>
      </w:hyperlink>
    </w:p>
    <w:p w14:paraId="6F43485A" w14:textId="77777777" w:rsidR="00C116BC" w:rsidRDefault="00C116BC" w:rsidP="00C116B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u w:val="single"/>
        </w:rPr>
      </w:pPr>
      <w:r w:rsidRPr="00AB0284">
        <w:rPr>
          <w:b/>
          <w:bCs/>
          <w:u w:val="single"/>
        </w:rPr>
        <w:t>Helpful Links:</w:t>
      </w:r>
    </w:p>
    <w:p w14:paraId="1F0A21B8" w14:textId="77777777" w:rsidR="00C116BC" w:rsidRPr="00797412" w:rsidRDefault="00C116BC" w:rsidP="00C116B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300"/>
        <w:textAlignment w:val="center"/>
        <w:outlineLvl w:val="0"/>
        <w:rPr>
          <w:rFonts w:eastAsia="Times New Roman" w:cs="Helvetica"/>
          <w:color w:val="111111"/>
          <w:spacing w:val="6"/>
          <w:shd w:val="clear" w:color="auto" w:fill="FFFFFF"/>
          <w:lang w:eastAsia="en-GB"/>
        </w:rPr>
      </w:pPr>
      <w:r w:rsidRPr="00797412">
        <w:rPr>
          <w:rFonts w:eastAsia="Times New Roman" w:cs="Helvetica"/>
          <w:b/>
          <w:bCs/>
          <w:spacing w:val="6"/>
          <w:kern w:val="36"/>
          <w:lang w:eastAsia="en-GB"/>
        </w:rPr>
        <w:t xml:space="preserve">BMA COVID-19: toolkit for GPs and GP practices </w:t>
      </w:r>
      <w:hyperlink r:id="rId23" w:history="1">
        <w:r w:rsidRPr="00797412">
          <w:rPr>
            <w:color w:val="0000FF"/>
            <w:u w:val="single"/>
          </w:rPr>
          <w:t>https://www.bma.org.uk/advice-and-support/covid-19/gp-practices/covid-19-toolkit-for-gps-and-gp-practices</w:t>
        </w:r>
      </w:hyperlink>
      <w:r w:rsidRPr="00797412">
        <w:t xml:space="preserve"> </w:t>
      </w:r>
      <w:r w:rsidRPr="00797412">
        <w:rPr>
          <w:rFonts w:eastAsia="Times New Roman" w:cs="Helvetica"/>
          <w:color w:val="111111"/>
          <w:spacing w:val="6"/>
          <w:shd w:val="clear" w:color="auto" w:fill="FFFFFF"/>
          <w:lang w:eastAsia="en-GB"/>
        </w:rPr>
        <w:t>Comprehensive guidance for GPs, partners, and practice managers to manage employment and contractual issues and service provision during the coronavirus pandemic.</w:t>
      </w:r>
    </w:p>
    <w:p w14:paraId="6E8605E6" w14:textId="77777777" w:rsidR="00C116BC" w:rsidRPr="00797412" w:rsidRDefault="00C116BC" w:rsidP="00C116BC">
      <w:pPr>
        <w:pStyle w:val="Heading2"/>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before="0"/>
        <w:textAlignment w:val="baseline"/>
        <w:rPr>
          <w:rFonts w:asciiTheme="minorHAnsi" w:eastAsia="Times New Roman" w:hAnsiTheme="minorHAnsi" w:cs="Arial"/>
          <w:color w:val="0B0C0C"/>
          <w:sz w:val="22"/>
          <w:szCs w:val="22"/>
          <w:lang w:eastAsia="en-GB"/>
        </w:rPr>
      </w:pPr>
      <w:r w:rsidRPr="00797412">
        <w:rPr>
          <w:rFonts w:asciiTheme="minorHAnsi" w:hAnsiTheme="minorHAnsi"/>
          <w:b/>
          <w:bCs/>
          <w:color w:val="auto"/>
          <w:sz w:val="22"/>
          <w:szCs w:val="22"/>
        </w:rPr>
        <w:t>GOVERNMENT WEBSITE:</w:t>
      </w:r>
      <w:r w:rsidRPr="00797412">
        <w:rPr>
          <w:color w:val="auto"/>
          <w:sz w:val="22"/>
          <w:szCs w:val="22"/>
        </w:rPr>
        <w:t xml:space="preserve"> </w:t>
      </w:r>
      <w:hyperlink r:id="rId24" w:history="1">
        <w:r w:rsidRPr="00797412">
          <w:rPr>
            <w:rStyle w:val="Hyperlink"/>
            <w:sz w:val="22"/>
            <w:szCs w:val="22"/>
          </w:rPr>
          <w:t>https://www.gov.uk/coronavirus</w:t>
        </w:r>
      </w:hyperlink>
      <w:r w:rsidRPr="00797412">
        <w:rPr>
          <w:color w:val="0000FF"/>
          <w:sz w:val="22"/>
          <w:szCs w:val="22"/>
        </w:rPr>
        <w:t xml:space="preserve"> </w:t>
      </w:r>
      <w:r w:rsidRPr="00797412">
        <w:rPr>
          <w:rFonts w:asciiTheme="minorHAnsi" w:hAnsiTheme="minorHAnsi"/>
          <w:color w:val="auto"/>
          <w:sz w:val="22"/>
          <w:szCs w:val="22"/>
        </w:rPr>
        <w:t>for r</w:t>
      </w:r>
      <w:r w:rsidRPr="00797412">
        <w:rPr>
          <w:rFonts w:asciiTheme="minorHAnsi" w:eastAsia="Times New Roman" w:hAnsiTheme="minorHAnsi" w:cs="Arial"/>
          <w:color w:val="0B0C0C"/>
          <w:sz w:val="22"/>
          <w:szCs w:val="22"/>
          <w:lang w:eastAsia="en-GB"/>
        </w:rPr>
        <w:t>ecent and upcoming changes</w:t>
      </w:r>
      <w:r>
        <w:rPr>
          <w:rFonts w:asciiTheme="minorHAnsi" w:eastAsia="Times New Roman" w:hAnsiTheme="minorHAnsi" w:cs="Arial"/>
          <w:color w:val="0B0C0C"/>
          <w:sz w:val="22"/>
          <w:szCs w:val="22"/>
          <w:lang w:eastAsia="en-GB"/>
        </w:rPr>
        <w:t xml:space="preserve">, </w:t>
      </w:r>
      <w:r w:rsidRPr="00797412">
        <w:rPr>
          <w:rFonts w:asciiTheme="minorHAnsi" w:eastAsia="Times New Roman" w:hAnsiTheme="minorHAnsi" w:cs="Arial"/>
          <w:color w:val="0B0C0C"/>
          <w:sz w:val="22"/>
          <w:szCs w:val="22"/>
          <w:lang w:eastAsia="en-GB"/>
        </w:rPr>
        <w:t>guidance &amp; support.</w:t>
      </w:r>
    </w:p>
    <w:p w14:paraId="401366B1" w14:textId="77777777" w:rsidR="002169EC" w:rsidRDefault="002169EC" w:rsidP="00C116B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rPr>
      </w:pPr>
    </w:p>
    <w:p w14:paraId="7673C078" w14:textId="44425714" w:rsidR="00C116BC" w:rsidRDefault="00C116BC" w:rsidP="00C116B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rStyle w:val="Hyperlink"/>
        </w:rPr>
      </w:pPr>
      <w:r w:rsidRPr="00797412">
        <w:rPr>
          <w:b/>
          <w:bCs/>
        </w:rPr>
        <w:t>NHS ENGLAND:</w:t>
      </w:r>
      <w:r w:rsidRPr="00797412">
        <w:t xml:space="preserve"> </w:t>
      </w:r>
      <w:hyperlink r:id="rId25" w:history="1">
        <w:r w:rsidRPr="00797412">
          <w:rPr>
            <w:rStyle w:val="Hyperlink"/>
          </w:rPr>
          <w:t>https://www.england.nhs.uk/publication/implementing-phase-3-of-the-nhs-response-to-the-covid-19-pandemic/</w:t>
        </w:r>
      </w:hyperlink>
    </w:p>
    <w:p w14:paraId="25AB9674" w14:textId="77777777" w:rsidR="00FE1174" w:rsidRPr="00FE1174" w:rsidRDefault="00FE1174" w:rsidP="00FE1174"/>
    <w:sectPr w:rsidR="00FE1174" w:rsidRPr="00FE1174" w:rsidSect="002169EC">
      <w:headerReference w:type="default" r:id="rId26"/>
      <w:footerReference w:type="default" r:id="rId27"/>
      <w:pgSz w:w="11906" w:h="16838"/>
      <w:pgMar w:top="1440" w:right="1440" w:bottom="993" w:left="1440" w:header="142"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000B1" w14:textId="77777777" w:rsidR="00557D6D" w:rsidRDefault="00557D6D" w:rsidP="001B4E81">
      <w:pPr>
        <w:spacing w:after="0" w:line="240" w:lineRule="auto"/>
      </w:pPr>
      <w:r>
        <w:separator/>
      </w:r>
    </w:p>
  </w:endnote>
  <w:endnote w:type="continuationSeparator" w:id="0">
    <w:p w14:paraId="023BF195" w14:textId="77777777" w:rsidR="00557D6D" w:rsidRDefault="00557D6D"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65161" w14:textId="082627BD" w:rsidR="00C116BC" w:rsidRPr="00BA067B" w:rsidRDefault="00C116BC" w:rsidP="00C116BC">
    <w:pPr>
      <w:shd w:val="clear" w:color="auto" w:fill="FFFFFF"/>
    </w:pPr>
    <w:r w:rsidRPr="00E76065">
      <w:rPr>
        <w:rFonts w:eastAsiaTheme="minorEastAsia" w:cs="Calibri"/>
        <w:b/>
        <w:bCs/>
        <w:noProof/>
        <w:color w:val="202020"/>
        <w:sz w:val="16"/>
        <w:szCs w:val="16"/>
        <w:lang w:eastAsia="en-GB"/>
      </w:rPr>
      <w:t>As you will already appreciate Guidance is continually changing at a fast pace, therefore Birmingham LMC will be unable to update any links on a regular basis and would respectfully ask that any practice who wish to continue to use this information ensure that these links are updated and validated against the most recent advice.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80020" w14:textId="77777777" w:rsidR="00557D6D" w:rsidRDefault="00557D6D" w:rsidP="001B4E81">
      <w:pPr>
        <w:spacing w:after="0" w:line="240" w:lineRule="auto"/>
      </w:pPr>
      <w:r>
        <w:separator/>
      </w:r>
    </w:p>
  </w:footnote>
  <w:footnote w:type="continuationSeparator" w:id="0">
    <w:p w14:paraId="2C2E3564" w14:textId="77777777" w:rsidR="00557D6D" w:rsidRDefault="00557D6D"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91CF3"/>
    <w:multiLevelType w:val="hybridMultilevel"/>
    <w:tmpl w:val="812029F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26959"/>
    <w:multiLevelType w:val="hybridMultilevel"/>
    <w:tmpl w:val="C2D29D34"/>
    <w:lvl w:ilvl="0" w:tplc="C240AFF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044FB3"/>
    <w:multiLevelType w:val="hybridMultilevel"/>
    <w:tmpl w:val="B5A89C0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C402A"/>
    <w:multiLevelType w:val="multilevel"/>
    <w:tmpl w:val="83721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FF247F"/>
    <w:multiLevelType w:val="hybridMultilevel"/>
    <w:tmpl w:val="AF7A6CC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86514B"/>
    <w:multiLevelType w:val="multilevel"/>
    <w:tmpl w:val="D7DA62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E47A36"/>
    <w:multiLevelType w:val="hybridMultilevel"/>
    <w:tmpl w:val="C4DE1D9C"/>
    <w:lvl w:ilvl="0" w:tplc="D8F27E10">
      <w:start w:val="1"/>
      <w:numFmt w:val="decimal"/>
      <w:lvlText w:val="%1."/>
      <w:lvlJc w:val="left"/>
      <w:pPr>
        <w:ind w:left="1080" w:hanging="720"/>
      </w:pPr>
      <w:rPr>
        <w:rFonts w:hint="default"/>
        <w:color w:val="0563C1"/>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6C1E13"/>
    <w:multiLevelType w:val="multilevel"/>
    <w:tmpl w:val="D25CA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A125F7"/>
    <w:multiLevelType w:val="hybridMultilevel"/>
    <w:tmpl w:val="24F2C608"/>
    <w:lvl w:ilvl="0" w:tplc="9FC0EE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E653FB"/>
    <w:multiLevelType w:val="hybridMultilevel"/>
    <w:tmpl w:val="EE1E9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7030DE"/>
    <w:multiLevelType w:val="hybridMultilevel"/>
    <w:tmpl w:val="194CED14"/>
    <w:lvl w:ilvl="0" w:tplc="A9BE8072">
      <w:start w:val="1"/>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FF2071"/>
    <w:multiLevelType w:val="hybridMultilevel"/>
    <w:tmpl w:val="6A26AC1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5755FB"/>
    <w:multiLevelType w:val="hybridMultilevel"/>
    <w:tmpl w:val="A9BAC8F0"/>
    <w:lvl w:ilvl="0" w:tplc="34086F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057318"/>
    <w:multiLevelType w:val="hybridMultilevel"/>
    <w:tmpl w:val="80A009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851271"/>
    <w:multiLevelType w:val="hybridMultilevel"/>
    <w:tmpl w:val="4E1C0FF6"/>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CB2428"/>
    <w:multiLevelType w:val="hybridMultilevel"/>
    <w:tmpl w:val="B7FCB96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03672E"/>
    <w:multiLevelType w:val="hybridMultilevel"/>
    <w:tmpl w:val="F7B6BB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5"/>
  </w:num>
  <w:num w:numId="4">
    <w:abstractNumId w:val="4"/>
  </w:num>
  <w:num w:numId="5">
    <w:abstractNumId w:val="13"/>
  </w:num>
  <w:num w:numId="6">
    <w:abstractNumId w:val="0"/>
  </w:num>
  <w:num w:numId="7">
    <w:abstractNumId w:val="9"/>
  </w:num>
  <w:num w:numId="8">
    <w:abstractNumId w:val="14"/>
  </w:num>
  <w:num w:numId="9">
    <w:abstractNumId w:val="6"/>
  </w:num>
  <w:num w:numId="10">
    <w:abstractNumId w:val="16"/>
  </w:num>
  <w:num w:numId="11">
    <w:abstractNumId w:val="10"/>
  </w:num>
  <w:num w:numId="12">
    <w:abstractNumId w:val="12"/>
  </w:num>
  <w:num w:numId="13">
    <w:abstractNumId w:val="1"/>
  </w:num>
  <w:num w:numId="14">
    <w:abstractNumId w:val="7"/>
    <w:lvlOverride w:ilvl="0"/>
    <w:lvlOverride w:ilvl="1"/>
    <w:lvlOverride w:ilvl="2"/>
    <w:lvlOverride w:ilvl="3"/>
    <w:lvlOverride w:ilvl="4"/>
    <w:lvlOverride w:ilvl="5"/>
    <w:lvlOverride w:ilvl="6"/>
    <w:lvlOverride w:ilvl="7"/>
    <w:lvlOverride w:ilvl="8"/>
  </w:num>
  <w:num w:numId="15">
    <w:abstractNumId w:val="5"/>
    <w:lvlOverride w:ilvl="0"/>
    <w:lvlOverride w:ilvl="1"/>
    <w:lvlOverride w:ilvl="2"/>
    <w:lvlOverride w:ilvl="3"/>
    <w:lvlOverride w:ilvl="4"/>
    <w:lvlOverride w:ilvl="5"/>
    <w:lvlOverride w:ilvl="6"/>
    <w:lvlOverride w:ilvl="7"/>
    <w:lvlOverride w:ilvl="8"/>
  </w:num>
  <w:num w:numId="16">
    <w:abstractNumId w:val="3"/>
    <w:lvlOverride w:ilvl="0"/>
    <w:lvlOverride w:ilvl="1"/>
    <w:lvlOverride w:ilvl="2"/>
    <w:lvlOverride w:ilvl="3"/>
    <w:lvlOverride w:ilvl="4"/>
    <w:lvlOverride w:ilvl="5"/>
    <w:lvlOverride w:ilvl="6"/>
    <w:lvlOverride w:ilvl="7"/>
    <w:lvlOverride w:ilvl="8"/>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29A0"/>
    <w:rsid w:val="00010C70"/>
    <w:rsid w:val="000525F3"/>
    <w:rsid w:val="0006094A"/>
    <w:rsid w:val="000A38D8"/>
    <w:rsid w:val="000C2FD6"/>
    <w:rsid w:val="000F0353"/>
    <w:rsid w:val="0012701E"/>
    <w:rsid w:val="00154EBD"/>
    <w:rsid w:val="00177EAB"/>
    <w:rsid w:val="001808CC"/>
    <w:rsid w:val="001B4E81"/>
    <w:rsid w:val="001E2094"/>
    <w:rsid w:val="001F20F9"/>
    <w:rsid w:val="001F50DA"/>
    <w:rsid w:val="002162D0"/>
    <w:rsid w:val="002169EC"/>
    <w:rsid w:val="00257079"/>
    <w:rsid w:val="00262DFF"/>
    <w:rsid w:val="00267854"/>
    <w:rsid w:val="0027009C"/>
    <w:rsid w:val="002763E0"/>
    <w:rsid w:val="002B52E3"/>
    <w:rsid w:val="002C2EA3"/>
    <w:rsid w:val="003029B2"/>
    <w:rsid w:val="00304460"/>
    <w:rsid w:val="00322467"/>
    <w:rsid w:val="00327F6D"/>
    <w:rsid w:val="003307E4"/>
    <w:rsid w:val="00334058"/>
    <w:rsid w:val="003731E2"/>
    <w:rsid w:val="003A2046"/>
    <w:rsid w:val="003C0F28"/>
    <w:rsid w:val="0042361F"/>
    <w:rsid w:val="00424321"/>
    <w:rsid w:val="00471CFB"/>
    <w:rsid w:val="004B5D50"/>
    <w:rsid w:val="004D0C57"/>
    <w:rsid w:val="004F7CC6"/>
    <w:rsid w:val="005318E5"/>
    <w:rsid w:val="00552E3F"/>
    <w:rsid w:val="00557D6D"/>
    <w:rsid w:val="005F5155"/>
    <w:rsid w:val="00646733"/>
    <w:rsid w:val="00654AA4"/>
    <w:rsid w:val="0068267C"/>
    <w:rsid w:val="00695059"/>
    <w:rsid w:val="006A3C3F"/>
    <w:rsid w:val="006D030D"/>
    <w:rsid w:val="006D0B43"/>
    <w:rsid w:val="006D4E3F"/>
    <w:rsid w:val="00725DA7"/>
    <w:rsid w:val="0078159D"/>
    <w:rsid w:val="007A050A"/>
    <w:rsid w:val="007A3FB8"/>
    <w:rsid w:val="007F5F4E"/>
    <w:rsid w:val="008119D7"/>
    <w:rsid w:val="00816E1F"/>
    <w:rsid w:val="00875A27"/>
    <w:rsid w:val="008855B8"/>
    <w:rsid w:val="008C56EA"/>
    <w:rsid w:val="008E369B"/>
    <w:rsid w:val="008E6C7C"/>
    <w:rsid w:val="009133B0"/>
    <w:rsid w:val="00933287"/>
    <w:rsid w:val="0097290E"/>
    <w:rsid w:val="009760A4"/>
    <w:rsid w:val="0098382C"/>
    <w:rsid w:val="0098389F"/>
    <w:rsid w:val="009A09DB"/>
    <w:rsid w:val="009C67A9"/>
    <w:rsid w:val="009D15F5"/>
    <w:rsid w:val="009E4658"/>
    <w:rsid w:val="00A552F2"/>
    <w:rsid w:val="00A7150C"/>
    <w:rsid w:val="00AD0E2F"/>
    <w:rsid w:val="00AD5F61"/>
    <w:rsid w:val="00AE3AD9"/>
    <w:rsid w:val="00AF39CC"/>
    <w:rsid w:val="00B22200"/>
    <w:rsid w:val="00B479C2"/>
    <w:rsid w:val="00B9314F"/>
    <w:rsid w:val="00BA4459"/>
    <w:rsid w:val="00BC4341"/>
    <w:rsid w:val="00BF3E5E"/>
    <w:rsid w:val="00C116BC"/>
    <w:rsid w:val="00C77C64"/>
    <w:rsid w:val="00C81BDE"/>
    <w:rsid w:val="00C97903"/>
    <w:rsid w:val="00CF1FD7"/>
    <w:rsid w:val="00CF6C14"/>
    <w:rsid w:val="00CF75ED"/>
    <w:rsid w:val="00D36011"/>
    <w:rsid w:val="00D72E12"/>
    <w:rsid w:val="00D81F48"/>
    <w:rsid w:val="00D847C3"/>
    <w:rsid w:val="00D8496B"/>
    <w:rsid w:val="00DB088B"/>
    <w:rsid w:val="00DB196B"/>
    <w:rsid w:val="00DF0C23"/>
    <w:rsid w:val="00E40AC3"/>
    <w:rsid w:val="00E95DC1"/>
    <w:rsid w:val="00EB2C00"/>
    <w:rsid w:val="00ED0645"/>
    <w:rsid w:val="00EE6841"/>
    <w:rsid w:val="00EF7465"/>
    <w:rsid w:val="00F15AC5"/>
    <w:rsid w:val="00F20872"/>
    <w:rsid w:val="00F55A0C"/>
    <w:rsid w:val="00F662DF"/>
    <w:rsid w:val="00F84C14"/>
    <w:rsid w:val="00FA03CF"/>
    <w:rsid w:val="00FB39FF"/>
    <w:rsid w:val="00FD2F1F"/>
    <w:rsid w:val="00FE1174"/>
    <w:rsid w:val="00FE2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116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character" w:customStyle="1" w:styleId="Heading2Char">
    <w:name w:val="Heading 2 Char"/>
    <w:basedOn w:val="DefaultParagraphFont"/>
    <w:link w:val="Heading2"/>
    <w:uiPriority w:val="9"/>
    <w:semiHidden/>
    <w:rsid w:val="00C116BC"/>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AE3AD9"/>
    <w:pPr>
      <w:spacing w:after="0" w:line="240" w:lineRule="auto"/>
    </w:pPr>
  </w:style>
  <w:style w:type="character" w:styleId="Strong">
    <w:name w:val="Strong"/>
    <w:basedOn w:val="DefaultParagraphFont"/>
    <w:uiPriority w:val="22"/>
    <w:qFormat/>
    <w:rsid w:val="00ED0645"/>
    <w:rPr>
      <w:b/>
      <w:bCs/>
    </w:rPr>
  </w:style>
  <w:style w:type="paragraph" w:customStyle="1" w:styleId="08bodycopy">
    <w:name w:val="08bodycopy"/>
    <w:basedOn w:val="Normal"/>
    <w:rsid w:val="000A38D8"/>
    <w:pPr>
      <w:spacing w:after="0" w:line="240" w:lineRule="auto"/>
    </w:pPr>
    <w:rPr>
      <w:rFonts w:ascii="Calibri" w:hAnsi="Calibri" w:cs="Times New Roman"/>
      <w:lang w:eastAsia="en-GB"/>
    </w:rPr>
  </w:style>
  <w:style w:type="paragraph" w:customStyle="1" w:styleId="xmsonormal">
    <w:name w:val="xmsonormal"/>
    <w:basedOn w:val="Normal"/>
    <w:rsid w:val="007A050A"/>
    <w:pPr>
      <w:spacing w:after="0" w:line="240" w:lineRule="auto"/>
    </w:pPr>
    <w:rPr>
      <w:rFonts w:ascii="Calibri" w:hAnsi="Calibri" w:cs="Times New Roman"/>
      <w:lang w:eastAsia="en-GB"/>
    </w:rPr>
  </w:style>
  <w:style w:type="paragraph" w:styleId="NormalWeb">
    <w:name w:val="Normal (Web)"/>
    <w:basedOn w:val="Normal"/>
    <w:uiPriority w:val="99"/>
    <w:unhideWhenUsed/>
    <w:rsid w:val="00EB2C00"/>
    <w:pPr>
      <w:spacing w:before="100" w:beforeAutospacing="1" w:after="100" w:afterAutospacing="1" w:line="240" w:lineRule="auto"/>
    </w:pPr>
    <w:rPr>
      <w:rFonts w:ascii="Calibri" w:hAnsi="Calibri" w:cs="Calibri"/>
      <w:lang w:eastAsia="en-GB"/>
    </w:rPr>
  </w:style>
  <w:style w:type="paragraph" w:customStyle="1" w:styleId="Default">
    <w:name w:val="Default"/>
    <w:rsid w:val="00F15AC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561544">
      <w:bodyDiv w:val="1"/>
      <w:marLeft w:val="0"/>
      <w:marRight w:val="0"/>
      <w:marTop w:val="0"/>
      <w:marBottom w:val="0"/>
      <w:divBdr>
        <w:top w:val="none" w:sz="0" w:space="0" w:color="auto"/>
        <w:left w:val="none" w:sz="0" w:space="0" w:color="auto"/>
        <w:bottom w:val="none" w:sz="0" w:space="0" w:color="auto"/>
        <w:right w:val="none" w:sz="0" w:space="0" w:color="auto"/>
      </w:divBdr>
    </w:div>
    <w:div w:id="1157182843">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91615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ma.org.uk/media/3650/bma-consultation-response-integrated-care-systems-england-jan-2021.pdf" TargetMode="External"/><Relationship Id="rId18" Type="http://schemas.openxmlformats.org/officeDocument/2006/relationships/hyperlink" Target="https://generalpracticebulletin.cmail20.com/t/d-l-cuhlluk-tluhhdhyld-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generalpracticebulletin.cmail20.com/t/d-l-cuhlluk-tluhhdhyld-j/" TargetMode="External"/><Relationship Id="rId7" Type="http://schemas.openxmlformats.org/officeDocument/2006/relationships/settings" Target="settings.xml"/><Relationship Id="rId12" Type="http://schemas.openxmlformats.org/officeDocument/2006/relationships/hyperlink" Target="https://www.bma.org.uk/media/3650/bma-consultation-response-integrated-care-systems-england-jan-2021.pdf" TargetMode="External"/><Relationship Id="rId17" Type="http://schemas.openxmlformats.org/officeDocument/2006/relationships/hyperlink" Target="https://generalpracticebulletin.cmail20.com/t/d-l-cuhlluk-tluhhdhyld-n/" TargetMode="External"/><Relationship Id="rId25" Type="http://schemas.openxmlformats.org/officeDocument/2006/relationships/hyperlink" Target="https://www.england.nhs.uk/publication/implementing-phase-3-of-the-nhs-response-to-the-covid-19-pandemic/" TargetMode="External"/><Relationship Id="rId2" Type="http://schemas.openxmlformats.org/officeDocument/2006/relationships/customXml" Target="../customXml/item2.xml"/><Relationship Id="rId16" Type="http://schemas.openxmlformats.org/officeDocument/2006/relationships/hyperlink" Target="https://generalpracticebulletin.cmail20.com/t/d-l-cuhlluk-tluhhdhyld-b/" TargetMode="External"/><Relationship Id="rId20" Type="http://schemas.openxmlformats.org/officeDocument/2006/relationships/hyperlink" Target="https://www.england.nhs.uk/publication/process-for-registering-patients-prior-to-their-release-from-pris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wp-content/uploads/2020/11/261120-item-5-integrating-care-next-steps-for-integrated-care-systems.pdf" TargetMode="External"/><Relationship Id="rId24" Type="http://schemas.openxmlformats.org/officeDocument/2006/relationships/hyperlink" Target="https://www.gov.uk/coronavirus" TargetMode="External"/><Relationship Id="rId5" Type="http://schemas.openxmlformats.org/officeDocument/2006/relationships/numbering" Target="numbering.xml"/><Relationship Id="rId15" Type="http://schemas.openxmlformats.org/officeDocument/2006/relationships/hyperlink" Target="https://www.cqc.org.uk/news/stories/update-cqcs-regulatory-approach" TargetMode="External"/><Relationship Id="rId23" Type="http://schemas.openxmlformats.org/officeDocument/2006/relationships/hyperlink" Target="https://www.bma.org.uk/advice-and-support/covid-19/gp-practices/covid-19-toolkit-for-gps-and-gp-practic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ngland.nhs.uk/wp-content/uploads/2018/01/17-18-gms-contrac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olicy@bma.org.uk" TargetMode="External"/><Relationship Id="rId22" Type="http://schemas.openxmlformats.org/officeDocument/2006/relationships/hyperlink" Target="mailto:birmingham.lmc@nhs.net"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0" ma:contentTypeDescription="Create a new document." ma:contentTypeScope="" ma:versionID="d62ef4803e0004c08ec6002638139d1f">
  <xsd:schema xmlns:xsd="http://www.w3.org/2001/XMLSchema" xmlns:xs="http://www.w3.org/2001/XMLSchema" xmlns:p="http://schemas.microsoft.com/office/2006/metadata/properties" xmlns:ns2="69cd0928-9a77-479c-a3b1-4e21cbd99e9f" targetNamespace="http://schemas.microsoft.com/office/2006/metadata/properties" ma:root="true" ma:fieldsID="e7eca9b3391a59dc6f1659c05214d089" ns2:_="">
    <xsd:import namespace="69cd0928-9a77-479c-a3b1-4e21cbd99e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20CC2-90F5-4764-B331-18B3D6F5B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1866</Words>
  <Characters>10640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Jenni Downes</cp:lastModifiedBy>
  <cp:revision>5</cp:revision>
  <dcterms:created xsi:type="dcterms:W3CDTF">2021-01-21T13:17:00Z</dcterms:created>
  <dcterms:modified xsi:type="dcterms:W3CDTF">2021-01-21T15:31:00Z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ies>
</file>