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01AA05BB" w14:textId="10AE3554" w:rsidR="00FD2F1F" w:rsidRDefault="001B4E81" w:rsidP="002169EC">
      <w:pPr>
        <w:spacing w:after="0"/>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6310D27E"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11157A">
                              <w:rPr>
                                <w:b/>
                                <w:bCs/>
                                <w:i/>
                                <w:iCs/>
                                <w:color w:val="4472C4" w:themeColor="accent1"/>
                                <w:sz w:val="44"/>
                                <w:szCs w:val="44"/>
                              </w:rPr>
                              <w:t>29th</w:t>
                            </w:r>
                            <w:r w:rsidR="008E6C7C">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6310D27E"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11157A">
                        <w:rPr>
                          <w:b/>
                          <w:bCs/>
                          <w:i/>
                          <w:iCs/>
                          <w:color w:val="4472C4" w:themeColor="accent1"/>
                          <w:sz w:val="44"/>
                          <w:szCs w:val="44"/>
                        </w:rPr>
                        <w:t>29th</w:t>
                      </w:r>
                      <w:r w:rsidR="008E6C7C">
                        <w:rPr>
                          <w:b/>
                          <w:bCs/>
                          <w:i/>
                          <w:iCs/>
                          <w:color w:val="4472C4" w:themeColor="accent1"/>
                          <w:sz w:val="44"/>
                          <w:szCs w:val="44"/>
                        </w:rPr>
                        <w:t xml:space="preserve"> January 2021</w:t>
                      </w:r>
                    </w:p>
                  </w:txbxContent>
                </v:textbox>
                <w10:wrap type="topAndBottom" anchorx="page"/>
              </v:shape>
            </w:pict>
          </mc:Fallback>
        </mc:AlternateContent>
      </w:r>
    </w:p>
    <w:p w14:paraId="47BEF119" w14:textId="36B859C6" w:rsidR="0068267C" w:rsidRPr="00B22200" w:rsidRDefault="00BE155D" w:rsidP="001E2094">
      <w:pPr>
        <w:pStyle w:val="ListParagraph"/>
        <w:numPr>
          <w:ilvl w:val="0"/>
          <w:numId w:val="8"/>
        </w:numPr>
        <w:spacing w:after="0"/>
        <w:rPr>
          <w:rFonts w:cs="Arial"/>
          <w:b/>
          <w:bCs/>
          <w:color w:val="000000"/>
          <w:lang w:eastAsia="en-GB"/>
        </w:rPr>
      </w:pPr>
      <w:hyperlink w:anchor="mark_1" w:history="1">
        <w:r w:rsidR="004C5B17" w:rsidRPr="00BE155D">
          <w:rPr>
            <w:rStyle w:val="Hyperlink"/>
            <w:rFonts w:cstheme="minorHAnsi"/>
            <w:b/>
            <w:bCs/>
          </w:rPr>
          <w:t>Planned Extractions for the National Workforce Reporting System (NWRS)</w:t>
        </w:r>
      </w:hyperlink>
    </w:p>
    <w:p w14:paraId="7C256F4D" w14:textId="0824191C" w:rsidR="00B22200" w:rsidRPr="00B22200" w:rsidRDefault="00BE155D" w:rsidP="00B22200">
      <w:pPr>
        <w:pStyle w:val="ListParagraph"/>
        <w:numPr>
          <w:ilvl w:val="0"/>
          <w:numId w:val="8"/>
        </w:numPr>
        <w:spacing w:after="0"/>
        <w:rPr>
          <w:b/>
          <w:bCs/>
        </w:rPr>
      </w:pPr>
      <w:hyperlink w:anchor="mark_2" w:history="1">
        <w:r w:rsidR="00893F11" w:rsidRPr="00BE155D">
          <w:rPr>
            <w:rStyle w:val="Hyperlink"/>
            <w:rFonts w:cstheme="minorHAnsi"/>
            <w:b/>
            <w:bCs/>
          </w:rPr>
          <w:t>PCN DES ballot results (England) </w:t>
        </w:r>
      </w:hyperlink>
    </w:p>
    <w:p w14:paraId="53A448F3" w14:textId="49F43959" w:rsidR="00B22200" w:rsidRPr="00B22200" w:rsidRDefault="00BE155D" w:rsidP="00B22200">
      <w:pPr>
        <w:pStyle w:val="ListParagraph"/>
        <w:numPr>
          <w:ilvl w:val="0"/>
          <w:numId w:val="8"/>
        </w:numPr>
        <w:spacing w:after="0"/>
        <w:rPr>
          <w:b/>
          <w:bCs/>
        </w:rPr>
      </w:pPr>
      <w:hyperlink w:anchor="mark_3" w:history="1">
        <w:r w:rsidR="00267640" w:rsidRPr="00BE155D">
          <w:rPr>
            <w:rStyle w:val="Hyperlink"/>
            <w:b/>
            <w:bCs/>
          </w:rPr>
          <w:t>GPC regional elections </w:t>
        </w:r>
      </w:hyperlink>
    </w:p>
    <w:p w14:paraId="2E470F3D" w14:textId="5B79B871" w:rsidR="0068267C" w:rsidRPr="0068267C" w:rsidRDefault="00BE155D" w:rsidP="002169EC">
      <w:pPr>
        <w:pStyle w:val="ListParagraph"/>
        <w:numPr>
          <w:ilvl w:val="0"/>
          <w:numId w:val="8"/>
        </w:numPr>
        <w:spacing w:after="0"/>
        <w:jc w:val="both"/>
        <w:rPr>
          <w:rFonts w:cstheme="minorHAnsi"/>
          <w:b/>
          <w:bCs/>
          <w:color w:val="222222"/>
          <w:lang w:eastAsia="en-GB"/>
        </w:rPr>
      </w:pPr>
      <w:hyperlink w:anchor="mark_4" w:history="1">
        <w:r w:rsidR="00267640" w:rsidRPr="00BE155D">
          <w:rPr>
            <w:rStyle w:val="Hyperlink"/>
            <w:rFonts w:cstheme="minorHAnsi"/>
            <w:b/>
            <w:bCs/>
          </w:rPr>
          <w:t>Specsavers Audiology Services</w:t>
        </w:r>
      </w:hyperlink>
    </w:p>
    <w:p w14:paraId="345E7133" w14:textId="13AD1286" w:rsidR="00816E1F" w:rsidRDefault="00BE155D" w:rsidP="002169EC">
      <w:pPr>
        <w:pStyle w:val="ListParagraph"/>
        <w:numPr>
          <w:ilvl w:val="0"/>
          <w:numId w:val="8"/>
        </w:numPr>
        <w:spacing w:after="0"/>
        <w:rPr>
          <w:b/>
          <w:bCs/>
        </w:rPr>
      </w:pPr>
      <w:hyperlink w:anchor="mark_5" w:history="1">
        <w:r w:rsidR="00267640" w:rsidRPr="00BE155D">
          <w:rPr>
            <w:rStyle w:val="Hyperlink"/>
            <w:b/>
            <w:bCs/>
          </w:rPr>
          <w:t>Inappropriate transfer of workload requests</w:t>
        </w:r>
      </w:hyperlink>
    </w:p>
    <w:p w14:paraId="0690DAC3" w14:textId="23A0B34C" w:rsidR="005C2C70" w:rsidRDefault="00BE155D" w:rsidP="002169EC">
      <w:pPr>
        <w:pStyle w:val="ListParagraph"/>
        <w:numPr>
          <w:ilvl w:val="0"/>
          <w:numId w:val="8"/>
        </w:numPr>
        <w:spacing w:after="0"/>
        <w:rPr>
          <w:b/>
          <w:bCs/>
        </w:rPr>
      </w:pPr>
      <w:hyperlink w:anchor="mark_6" w:history="1">
        <w:r w:rsidR="005C2C70" w:rsidRPr="00BE155D">
          <w:rPr>
            <w:rStyle w:val="Hyperlink"/>
            <w:rFonts w:cstheme="minorHAnsi"/>
            <w:b/>
            <w:bCs/>
          </w:rPr>
          <w:t>Legal advice note commissioned by GPDF on Covid-19 vaccination programme</w:t>
        </w:r>
      </w:hyperlink>
    </w:p>
    <w:p w14:paraId="06EA7083" w14:textId="31ADAC80" w:rsidR="00B22200" w:rsidRPr="00267640" w:rsidRDefault="00BE155D" w:rsidP="00267640">
      <w:pPr>
        <w:pStyle w:val="ListParagraph"/>
        <w:numPr>
          <w:ilvl w:val="0"/>
          <w:numId w:val="8"/>
        </w:numPr>
        <w:spacing w:after="0"/>
        <w:rPr>
          <w:b/>
          <w:bCs/>
        </w:rPr>
      </w:pPr>
      <w:r>
        <w:rPr>
          <w:b/>
          <w:bCs/>
        </w:rPr>
        <w:fldChar w:fldCharType="begin"/>
      </w:r>
      <w:r>
        <w:rPr>
          <w:b/>
          <w:bCs/>
        </w:rPr>
        <w:instrText xml:space="preserve"> HYPERLINK  \l "mark_7" </w:instrText>
      </w:r>
      <w:r>
        <w:rPr>
          <w:b/>
          <w:bCs/>
        </w:rPr>
      </w:r>
      <w:r>
        <w:rPr>
          <w:b/>
          <w:bCs/>
        </w:rPr>
        <w:fldChar w:fldCharType="separate"/>
      </w:r>
      <w:r w:rsidR="00267640" w:rsidRPr="00BE155D">
        <w:rPr>
          <w:rStyle w:val="Hyperlink"/>
          <w:b/>
          <w:bCs/>
        </w:rPr>
        <w:t xml:space="preserve">Reporting COVID cases after </w:t>
      </w:r>
      <w:r w:rsidR="00D478CA" w:rsidRPr="00BE155D">
        <w:rPr>
          <w:rStyle w:val="Hyperlink"/>
          <w:b/>
          <w:bCs/>
        </w:rPr>
        <w:t>v</w:t>
      </w:r>
      <w:r w:rsidR="00267640" w:rsidRPr="00BE155D">
        <w:rPr>
          <w:rStyle w:val="Hyperlink"/>
          <w:b/>
          <w:bCs/>
        </w:rPr>
        <w:t>accination</w:t>
      </w:r>
      <w:r>
        <w:rPr>
          <w:b/>
          <w:bCs/>
        </w:rPr>
        <w:fldChar w:fldCharType="end"/>
      </w:r>
    </w:p>
    <w:p w14:paraId="131E9511" w14:textId="1F10CE90" w:rsidR="00D81F48" w:rsidRDefault="00D81F48" w:rsidP="00D81F48">
      <w:pPr>
        <w:spacing w:after="0"/>
        <w:rPr>
          <w:b/>
          <w:bCs/>
        </w:rPr>
      </w:pPr>
    </w:p>
    <w:p w14:paraId="62D12A86" w14:textId="77777777" w:rsidR="00893F11" w:rsidRDefault="00893F11" w:rsidP="00D81F48">
      <w:pPr>
        <w:spacing w:after="0"/>
        <w:rPr>
          <w:b/>
          <w:bCs/>
        </w:rPr>
      </w:pPr>
    </w:p>
    <w:p w14:paraId="0104AF5E" w14:textId="77777777" w:rsidR="004C5B17" w:rsidRPr="00B028EF" w:rsidRDefault="00D81F48" w:rsidP="004C5B17">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rPr>
      </w:pPr>
      <w:r>
        <w:rPr>
          <w:b/>
          <w:bCs/>
          <w:color w:val="000000"/>
        </w:rPr>
        <w:t>1.</w:t>
      </w:r>
      <w:r>
        <w:rPr>
          <w:b/>
          <w:bCs/>
          <w:color w:val="000000"/>
        </w:rPr>
        <w:tab/>
      </w:r>
      <w:bookmarkStart w:id="1" w:name="mark_1"/>
      <w:r w:rsidR="004C5B17" w:rsidRPr="00B028EF">
        <w:rPr>
          <w:rFonts w:cstheme="minorHAnsi"/>
          <w:b/>
          <w:bCs/>
        </w:rPr>
        <w:t>Planned Extractions for the National Workforce Reporting System (NWRS</w:t>
      </w:r>
      <w:proofErr w:type="gramStart"/>
      <w:r w:rsidR="004C5B17" w:rsidRPr="00B028EF">
        <w:rPr>
          <w:rFonts w:cstheme="minorHAnsi"/>
          <w:b/>
          <w:bCs/>
        </w:rPr>
        <w:t>) :</w:t>
      </w:r>
      <w:proofErr w:type="gramEnd"/>
      <w:r w:rsidR="004C5B17" w:rsidRPr="00B028EF">
        <w:rPr>
          <w:rFonts w:cstheme="minorHAnsi"/>
          <w:b/>
          <w:bCs/>
        </w:rPr>
        <w:t xml:space="preserve"> For a full explanation please refer to the links provided in the paragraph below:</w:t>
      </w:r>
    </w:p>
    <w:bookmarkEnd w:id="1"/>
    <w:p w14:paraId="0D90BE8D" w14:textId="0D594A13" w:rsidR="004C5B17" w:rsidRDefault="004C5B17" w:rsidP="00893F11">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ascii="Arial" w:hAnsi="Arial" w:cs="Arial"/>
          <w:sz w:val="24"/>
          <w:szCs w:val="24"/>
        </w:rPr>
      </w:pPr>
      <w:r w:rsidRPr="00B028EF">
        <w:rPr>
          <w:rFonts w:cstheme="minorHAnsi"/>
          <w:sz w:val="20"/>
          <w:szCs w:val="20"/>
        </w:rPr>
        <w:t xml:space="preserve">The planned extraction at the end of this month of General Practice data through the </w:t>
      </w:r>
      <w:hyperlink r:id="rId11" w:tgtFrame="_blank" w:history="1">
        <w:r w:rsidRPr="00B028EF">
          <w:rPr>
            <w:rStyle w:val="Hyperlink"/>
            <w:rFonts w:cstheme="minorHAnsi"/>
            <w:sz w:val="20"/>
            <w:szCs w:val="20"/>
          </w:rPr>
          <w:t>National Workforce Reporting System (NWRS)</w:t>
        </w:r>
      </w:hyperlink>
      <w:r w:rsidRPr="00B028EF">
        <w:rPr>
          <w:rFonts w:cstheme="minorHAnsi"/>
          <w:sz w:val="20"/>
          <w:szCs w:val="20"/>
        </w:rPr>
        <w:t xml:space="preserve"> will no longer take place. </w:t>
      </w:r>
      <w:r>
        <w:rPr>
          <w:rFonts w:cstheme="minorHAnsi"/>
          <w:sz w:val="20"/>
          <w:szCs w:val="20"/>
        </w:rPr>
        <w:t>NHS Digital</w:t>
      </w:r>
      <w:r w:rsidRPr="00B028EF">
        <w:rPr>
          <w:rFonts w:cstheme="minorHAnsi"/>
          <w:sz w:val="20"/>
          <w:szCs w:val="20"/>
        </w:rPr>
        <w:t xml:space="preserve"> are temporarily reverting to quarterly extracts for General Practice data which </w:t>
      </w:r>
      <w:r>
        <w:rPr>
          <w:rFonts w:cstheme="minorHAnsi"/>
          <w:sz w:val="20"/>
          <w:szCs w:val="20"/>
        </w:rPr>
        <w:t>they</w:t>
      </w:r>
      <w:r w:rsidRPr="00B028EF">
        <w:rPr>
          <w:rFonts w:cstheme="minorHAnsi"/>
          <w:sz w:val="20"/>
          <w:szCs w:val="20"/>
        </w:rPr>
        <w:t xml:space="preserve"> and </w:t>
      </w:r>
      <w:r>
        <w:rPr>
          <w:rFonts w:cstheme="minorHAnsi"/>
          <w:sz w:val="20"/>
          <w:szCs w:val="20"/>
        </w:rPr>
        <w:t>their</w:t>
      </w:r>
      <w:r w:rsidRPr="00B028EF">
        <w:rPr>
          <w:rFonts w:cstheme="minorHAnsi"/>
          <w:sz w:val="20"/>
          <w:szCs w:val="20"/>
        </w:rPr>
        <w:t xml:space="preserve"> NHS England colleagues hope will help to reduce the burden on Practices and PCNs over the coming weeks in line with NHS England’s recent letter (</w:t>
      </w:r>
      <w:hyperlink r:id="rId12" w:tgtFrame="_blank" w:history="1">
        <w:r w:rsidRPr="00B028EF">
          <w:rPr>
            <w:rStyle w:val="Hyperlink"/>
            <w:rFonts w:cstheme="minorHAnsi"/>
            <w:sz w:val="20"/>
            <w:szCs w:val="20"/>
          </w:rPr>
          <w:t>https://www.england.nhs.uk/coronavirus/wp-content/uploads/sites/52/2020/03/C1026_Freeing-up-GP-practices-letter_070121.pdf</w:t>
        </w:r>
      </w:hyperlink>
      <w:r w:rsidRPr="00B028EF">
        <w:rPr>
          <w:rFonts w:cstheme="minorHAnsi"/>
          <w:sz w:val="20"/>
          <w:szCs w:val="20"/>
        </w:rPr>
        <w:t xml:space="preserve">)   </w:t>
      </w:r>
      <w:r w:rsidRPr="00B028EF">
        <w:rPr>
          <w:rStyle w:val="Strong"/>
          <w:rFonts w:cstheme="minorHAnsi"/>
          <w:sz w:val="20"/>
          <w:szCs w:val="20"/>
        </w:rPr>
        <w:t>The next extraction for both General Practice and PCN workforce data will therefore be midnight 31st March 2021 (covering the period January – March 2021)</w:t>
      </w:r>
      <w:r w:rsidRPr="00B028EF">
        <w:rPr>
          <w:rFonts w:cstheme="minorHAnsi"/>
          <w:sz w:val="20"/>
          <w:szCs w:val="20"/>
        </w:rPr>
        <w:t xml:space="preserve">. This should include any staff funded through the General Practice </w:t>
      </w:r>
      <w:proofErr w:type="spellStart"/>
      <w:r w:rsidRPr="00B028EF">
        <w:rPr>
          <w:rFonts w:cstheme="minorHAnsi"/>
          <w:sz w:val="20"/>
          <w:szCs w:val="20"/>
        </w:rPr>
        <w:t>Covid</w:t>
      </w:r>
      <w:proofErr w:type="spellEnd"/>
      <w:r w:rsidRPr="00B028EF">
        <w:rPr>
          <w:rFonts w:cstheme="minorHAnsi"/>
          <w:sz w:val="20"/>
          <w:szCs w:val="20"/>
        </w:rPr>
        <w:t xml:space="preserve"> Capacity Expansion Fund</w:t>
      </w:r>
      <w:r>
        <w:rPr>
          <w:rFonts w:ascii="Arial" w:hAnsi="Arial" w:cs="Arial"/>
          <w:sz w:val="24"/>
          <w:szCs w:val="24"/>
        </w:rPr>
        <w:t>.</w:t>
      </w:r>
    </w:p>
    <w:p w14:paraId="022AF450" w14:textId="7856393F" w:rsidR="00B22200" w:rsidRPr="004C5B17" w:rsidRDefault="00D81F48" w:rsidP="004C5B17">
      <w:pPr>
        <w:jc w:val="both"/>
        <w:rPr>
          <w:color w:val="000000"/>
          <w:sz w:val="20"/>
          <w:szCs w:val="20"/>
        </w:rPr>
      </w:pPr>
      <w:r w:rsidRPr="004148DC">
        <w:rPr>
          <w:color w:val="000000"/>
          <w:sz w:val="20"/>
          <w:szCs w:val="20"/>
        </w:rPr>
        <w:t> </w:t>
      </w:r>
    </w:p>
    <w:p w14:paraId="673FE54F" w14:textId="77777777" w:rsidR="00893F11" w:rsidRDefault="00B22200"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rPr>
      </w:pPr>
      <w:bookmarkStart w:id="2" w:name="_Hlk59531770"/>
      <w:r>
        <w:rPr>
          <w:rStyle w:val="Strong"/>
          <w:rFonts w:cstheme="minorHAnsi"/>
          <w:color w:val="222222"/>
          <w:sz w:val="20"/>
          <w:szCs w:val="20"/>
        </w:rPr>
        <w:t>2.</w:t>
      </w:r>
      <w:r>
        <w:rPr>
          <w:rStyle w:val="Strong"/>
          <w:rFonts w:cstheme="minorHAnsi"/>
          <w:color w:val="222222"/>
          <w:sz w:val="20"/>
          <w:szCs w:val="20"/>
        </w:rPr>
        <w:tab/>
      </w:r>
      <w:bookmarkStart w:id="3" w:name="mark_10"/>
      <w:bookmarkStart w:id="4" w:name="mark_2"/>
      <w:bookmarkEnd w:id="2"/>
      <w:bookmarkEnd w:id="3"/>
      <w:r w:rsidR="00893F11" w:rsidRPr="00B028EF">
        <w:rPr>
          <w:rFonts w:cstheme="minorHAnsi"/>
          <w:b/>
          <w:bCs/>
        </w:rPr>
        <w:t>PCN DES ballot results (England) </w:t>
      </w:r>
      <w:bookmarkEnd w:id="4"/>
    </w:p>
    <w:p w14:paraId="194D0415"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b/>
          <w:bCs/>
        </w:rPr>
      </w:pPr>
    </w:p>
    <w:p w14:paraId="3AA26130"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In November, the LMC England conference passed the following resolution: </w:t>
      </w:r>
      <w:r w:rsidRPr="00B028EF">
        <w:rPr>
          <w:rFonts w:cstheme="minorHAnsi"/>
          <w:i/>
          <w:iCs/>
          <w:sz w:val="20"/>
          <w:szCs w:val="20"/>
        </w:rPr>
        <w:t>Conference notes that the BMA GPC (GP committee) England has never secured a robust democratic mandate for the PCN DES and so again asks the GPC England to secure a firm mandate from the entire profession by means of ballot before negotiating any extension or changes to the PCN DES for the year 2021 / 2022. </w:t>
      </w:r>
    </w:p>
    <w:p w14:paraId="027733D3"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w:t>
      </w:r>
    </w:p>
    <w:p w14:paraId="320BE0C6"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xml:space="preserve">As a </w:t>
      </w:r>
      <w:proofErr w:type="gramStart"/>
      <w:r w:rsidRPr="00B028EF">
        <w:rPr>
          <w:rFonts w:cstheme="minorHAnsi"/>
          <w:sz w:val="20"/>
          <w:szCs w:val="20"/>
        </w:rPr>
        <w:t>result</w:t>
      </w:r>
      <w:proofErr w:type="gramEnd"/>
      <w:r w:rsidRPr="00B028EF">
        <w:rPr>
          <w:rFonts w:cstheme="minorHAnsi"/>
          <w:sz w:val="20"/>
          <w:szCs w:val="20"/>
        </w:rPr>
        <w:t xml:space="preserve"> GPCE have completed a ballot, with the question based on the motion: “</w:t>
      </w:r>
      <w:r w:rsidRPr="00B028EF">
        <w:rPr>
          <w:rFonts w:cstheme="minorHAnsi"/>
          <w:i/>
          <w:iCs/>
          <w:sz w:val="20"/>
          <w:szCs w:val="20"/>
        </w:rPr>
        <w:t>Prior to any further negotiations, extension or changes for 2021/22, do you give GPC England a mandate for the PCN directed enhanced service?</w:t>
      </w:r>
      <w:r w:rsidRPr="00B028EF">
        <w:rPr>
          <w:rFonts w:cstheme="minorHAnsi"/>
          <w:sz w:val="20"/>
          <w:szCs w:val="20"/>
        </w:rPr>
        <w:t> </w:t>
      </w:r>
    </w:p>
    <w:p w14:paraId="0CBACB7A"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w:t>
      </w:r>
    </w:p>
    <w:p w14:paraId="751CACA2"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The result of the ballot was: </w:t>
      </w:r>
    </w:p>
    <w:p w14:paraId="6817AE39"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ab/>
        <w:t>Yes: 80% (3,619) </w:t>
      </w:r>
    </w:p>
    <w:p w14:paraId="6F83A5C8"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ind w:firstLine="720"/>
        <w:jc w:val="both"/>
        <w:rPr>
          <w:rFonts w:cstheme="minorHAnsi"/>
          <w:sz w:val="20"/>
          <w:szCs w:val="20"/>
        </w:rPr>
      </w:pPr>
      <w:r w:rsidRPr="00B028EF">
        <w:rPr>
          <w:rFonts w:cstheme="minorHAnsi"/>
          <w:sz w:val="20"/>
          <w:szCs w:val="20"/>
        </w:rPr>
        <w:t>No: 20% (915) </w:t>
      </w:r>
    </w:p>
    <w:p w14:paraId="287BEB22"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xml:space="preserve">Total number responding: </w:t>
      </w:r>
      <w:proofErr w:type="gramStart"/>
      <w:r w:rsidRPr="00B028EF">
        <w:rPr>
          <w:rFonts w:cstheme="minorHAnsi"/>
          <w:sz w:val="20"/>
          <w:szCs w:val="20"/>
        </w:rPr>
        <w:t>4,534</w:t>
      </w:r>
      <w:proofErr w:type="gramEnd"/>
      <w:r w:rsidRPr="00B028EF">
        <w:rPr>
          <w:rFonts w:cstheme="minorHAnsi"/>
          <w:sz w:val="20"/>
          <w:szCs w:val="20"/>
        </w:rPr>
        <w:t> </w:t>
      </w:r>
    </w:p>
    <w:p w14:paraId="34F84C65" w14:textId="77777777" w:rsidR="00893F11" w:rsidRPr="00B028EF"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w:t>
      </w:r>
    </w:p>
    <w:p w14:paraId="34979EC0" w14:textId="481194C8" w:rsidR="00893F11" w:rsidRDefault="00893F11" w:rsidP="00893F1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B028EF">
        <w:rPr>
          <w:rFonts w:cstheme="minorHAnsi"/>
          <w:sz w:val="20"/>
          <w:szCs w:val="20"/>
        </w:rPr>
        <w:t xml:space="preserve">This outcome provides a clear mandate from the profession for the PCN DES, and GPC England will therefore continue to negotiate on this, seeking improvements and further developing it, as part of the whole GP contract, for the benefit of practices and our patients. Read more </w:t>
      </w:r>
      <w:hyperlink r:id="rId13" w:history="1">
        <w:r w:rsidRPr="00B028EF">
          <w:rPr>
            <w:rStyle w:val="Hyperlink"/>
            <w:rFonts w:eastAsia="Times New Roman" w:cstheme="minorHAnsi"/>
            <w:sz w:val="20"/>
            <w:szCs w:val="20"/>
          </w:rPr>
          <w:t>here</w:t>
        </w:r>
      </w:hyperlink>
      <w:r w:rsidRPr="00B028EF">
        <w:rPr>
          <w:rFonts w:cstheme="minorHAnsi"/>
          <w:sz w:val="20"/>
          <w:szCs w:val="20"/>
        </w:rPr>
        <w:t> </w:t>
      </w:r>
    </w:p>
    <w:p w14:paraId="65859020" w14:textId="4FF702CD" w:rsidR="00893F11" w:rsidRDefault="00893F11" w:rsidP="00893F11">
      <w:pPr>
        <w:pStyle w:val="NoSpacing"/>
        <w:rPr>
          <w:rFonts w:cstheme="minorHAnsi"/>
          <w:sz w:val="20"/>
          <w:szCs w:val="20"/>
        </w:rPr>
      </w:pPr>
    </w:p>
    <w:p w14:paraId="523350E2" w14:textId="77777777" w:rsidR="00893F11" w:rsidRPr="00B028EF" w:rsidRDefault="00893F11" w:rsidP="00893F11">
      <w:pPr>
        <w:pStyle w:val="NoSpacing"/>
        <w:rPr>
          <w:rFonts w:cstheme="minorHAnsi"/>
          <w:sz w:val="20"/>
          <w:szCs w:val="20"/>
        </w:rPr>
      </w:pPr>
    </w:p>
    <w:p w14:paraId="5692F683" w14:textId="77777777" w:rsidR="00267640" w:rsidRDefault="00267640" w:rsidP="005C2C70">
      <w:pPr>
        <w:jc w:val="both"/>
        <w:rPr>
          <w:b/>
          <w:bCs/>
        </w:rPr>
      </w:pPr>
    </w:p>
    <w:p w14:paraId="5D9177A4" w14:textId="76FBC795" w:rsidR="00FB2FCF"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3.</w:t>
      </w:r>
      <w:r>
        <w:rPr>
          <w:b/>
          <w:bCs/>
        </w:rPr>
        <w:tab/>
      </w:r>
      <w:bookmarkStart w:id="5" w:name="mark_3"/>
      <w:r w:rsidRPr="004408FB">
        <w:rPr>
          <w:b/>
          <w:bCs/>
        </w:rPr>
        <w:t>GPC regional elections </w:t>
      </w:r>
      <w:bookmarkEnd w:id="5"/>
    </w:p>
    <w:p w14:paraId="30A7C378"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2F0293DC"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Nominations opened at 12pm on Friday 22 January for seats to the General Practitioners Committee (GPC) in the following regions: </w:t>
      </w:r>
    </w:p>
    <w:p w14:paraId="10EF1A6B"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3FD536E4"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Norfolk/Suffolk/Great Yarmouth &amp; Waveney </w:t>
      </w:r>
    </w:p>
    <w:p w14:paraId="71A78F42"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Enfield &amp; Haringey/Camden &amp; Islington/ Barnet/Kensington &amp; Chelsea/Westminster </w:t>
      </w:r>
    </w:p>
    <w:p w14:paraId="442FCD4A"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Merton, Sutton &amp; Wandsworth/Kingston &amp; Richmond </w:t>
      </w:r>
    </w:p>
    <w:p w14:paraId="78E36287"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Sefton/Liverpool/Wirral </w:t>
      </w:r>
    </w:p>
    <w:p w14:paraId="4647BC4B"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Salford &amp; Trafford/Manchester/Stockport </w:t>
      </w:r>
    </w:p>
    <w:p w14:paraId="490F6EC6"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Durham/Cleveland </w:t>
      </w:r>
    </w:p>
    <w:p w14:paraId="7019807D"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Northern Ireland </w:t>
      </w:r>
    </w:p>
    <w:p w14:paraId="1D631E18"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Grampian/Highland/Orkney/Shetland/Western Isles </w:t>
      </w:r>
    </w:p>
    <w:p w14:paraId="7E863ABC"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Glasgow &amp; Clyde </w:t>
      </w:r>
    </w:p>
    <w:p w14:paraId="7E882B17"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proofErr w:type="spellStart"/>
      <w:r w:rsidRPr="004408FB">
        <w:rPr>
          <w:rFonts w:eastAsia="Times New Roman"/>
          <w:sz w:val="20"/>
          <w:szCs w:val="20"/>
        </w:rPr>
        <w:t>Forth</w:t>
      </w:r>
      <w:proofErr w:type="spellEnd"/>
      <w:r w:rsidRPr="004408FB">
        <w:rPr>
          <w:rFonts w:eastAsia="Times New Roman"/>
          <w:sz w:val="20"/>
          <w:szCs w:val="20"/>
        </w:rPr>
        <w:t xml:space="preserve"> Valley/Fife /Lothian/Tayside </w:t>
      </w:r>
    </w:p>
    <w:p w14:paraId="48EA07AB"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Somerset/N &amp; E Devon </w:t>
      </w:r>
    </w:p>
    <w:p w14:paraId="5534FDC4"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E Sussex/W Sussex </w:t>
      </w:r>
    </w:p>
    <w:p w14:paraId="6CF82F74"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proofErr w:type="spellStart"/>
      <w:r w:rsidRPr="004408FB">
        <w:rPr>
          <w:rFonts w:eastAsia="Times New Roman"/>
          <w:sz w:val="20"/>
          <w:szCs w:val="20"/>
        </w:rPr>
        <w:t>Derbys</w:t>
      </w:r>
      <w:proofErr w:type="spellEnd"/>
      <w:r w:rsidRPr="004408FB">
        <w:rPr>
          <w:rFonts w:eastAsia="Times New Roman"/>
          <w:sz w:val="20"/>
          <w:szCs w:val="20"/>
        </w:rPr>
        <w:t>/ Notts </w:t>
      </w:r>
    </w:p>
    <w:p w14:paraId="08415A86"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 xml:space="preserve">Gwent/Bro </w:t>
      </w:r>
      <w:proofErr w:type="spellStart"/>
      <w:r w:rsidRPr="004408FB">
        <w:rPr>
          <w:rFonts w:eastAsia="Times New Roman"/>
          <w:sz w:val="20"/>
          <w:szCs w:val="20"/>
        </w:rPr>
        <w:t>Taf</w:t>
      </w:r>
      <w:proofErr w:type="spellEnd"/>
      <w:r w:rsidRPr="004408FB">
        <w:rPr>
          <w:rFonts w:eastAsia="Times New Roman"/>
          <w:sz w:val="20"/>
          <w:szCs w:val="20"/>
        </w:rPr>
        <w:t>/Morgannwg </w:t>
      </w:r>
    </w:p>
    <w:p w14:paraId="4E3A7103"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Herefordshire/</w:t>
      </w:r>
      <w:proofErr w:type="spellStart"/>
      <w:r w:rsidRPr="004408FB">
        <w:rPr>
          <w:rFonts w:eastAsia="Times New Roman"/>
          <w:sz w:val="20"/>
          <w:szCs w:val="20"/>
        </w:rPr>
        <w:t>Worcs</w:t>
      </w:r>
      <w:proofErr w:type="spellEnd"/>
      <w:r w:rsidRPr="004408FB">
        <w:rPr>
          <w:rFonts w:eastAsia="Times New Roman"/>
          <w:sz w:val="20"/>
          <w:szCs w:val="20"/>
        </w:rPr>
        <w:t>/Warks/Coventry </w:t>
      </w:r>
    </w:p>
    <w:p w14:paraId="330E71FB" w14:textId="77777777" w:rsidR="00FB2FCF" w:rsidRPr="00D478CA"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b/>
          <w:bCs/>
          <w:sz w:val="20"/>
          <w:szCs w:val="20"/>
        </w:rPr>
      </w:pPr>
      <w:r w:rsidRPr="00D478CA">
        <w:rPr>
          <w:rFonts w:eastAsia="Times New Roman"/>
          <w:b/>
          <w:bCs/>
          <w:sz w:val="20"/>
          <w:szCs w:val="20"/>
        </w:rPr>
        <w:t>Birmingham/Solihull </w:t>
      </w:r>
    </w:p>
    <w:p w14:paraId="4C37879E"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4408FB">
        <w:rPr>
          <w:rFonts w:eastAsia="Times New Roman"/>
          <w:sz w:val="20"/>
          <w:szCs w:val="20"/>
        </w:rPr>
        <w:t>Barnsley/Doncaster/Rotherham/Sheffield* </w:t>
      </w:r>
    </w:p>
    <w:p w14:paraId="095AA5A6"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75917E55" w14:textId="6C8B658C" w:rsidR="00FB2FCF"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*This is a by-election and is for a two-year term only from 2021-23. The next meeting of GPC UK is Thursday 18 March – if you are standing in this election please hold this date in your diary.  </w:t>
      </w:r>
    </w:p>
    <w:p w14:paraId="3AC3AEFC" w14:textId="008F547F" w:rsidR="005C2C7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192B1983" w14:textId="77777777" w:rsidR="005C2C7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These seats are for a three-year term, 2021-24 sessions, subject to governance structure review.  </w:t>
      </w:r>
    </w:p>
    <w:p w14:paraId="15A940E4" w14:textId="77777777" w:rsidR="005C2C7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48C9239A" w14:textId="02AB49C7" w:rsidR="005C2C70" w:rsidRPr="00AC334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AC3340">
        <w:rPr>
          <w:sz w:val="20"/>
          <w:szCs w:val="20"/>
        </w:rPr>
        <w:t xml:space="preserve">Nominations </w:t>
      </w:r>
      <w:r>
        <w:rPr>
          <w:sz w:val="20"/>
          <w:szCs w:val="20"/>
        </w:rPr>
        <w:t>also opened</w:t>
      </w:r>
      <w:r w:rsidRPr="00AC3340">
        <w:rPr>
          <w:sz w:val="20"/>
          <w:szCs w:val="20"/>
        </w:rPr>
        <w:t xml:space="preserve"> </w:t>
      </w:r>
      <w:r w:rsidRPr="00AC3340">
        <w:rPr>
          <w:b/>
          <w:bCs/>
          <w:sz w:val="20"/>
          <w:szCs w:val="20"/>
        </w:rPr>
        <w:t xml:space="preserve">12pm on Friday 22 January </w:t>
      </w:r>
      <w:r w:rsidRPr="00AC3340">
        <w:rPr>
          <w:sz w:val="20"/>
          <w:szCs w:val="20"/>
        </w:rPr>
        <w:t>to the below seat on GPC UK – this seat is for a three-year term from 2021-24: </w:t>
      </w:r>
    </w:p>
    <w:p w14:paraId="6767B604" w14:textId="77777777" w:rsidR="005C2C70" w:rsidRPr="00AC334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AC3340">
        <w:rPr>
          <w:sz w:val="20"/>
          <w:szCs w:val="20"/>
        </w:rPr>
        <w:t> </w:t>
      </w:r>
    </w:p>
    <w:p w14:paraId="6C2E56E9" w14:textId="0D7D4DB3" w:rsidR="005C2C70" w:rsidRPr="005C2C70"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sz w:val="20"/>
          <w:szCs w:val="20"/>
        </w:rPr>
      </w:pPr>
      <w:r w:rsidRPr="00AC3340">
        <w:rPr>
          <w:rFonts w:eastAsia="Times New Roman"/>
          <w:sz w:val="20"/>
          <w:szCs w:val="20"/>
        </w:rPr>
        <w:t>Prison GP representative </w:t>
      </w:r>
    </w:p>
    <w:p w14:paraId="61EDD14B" w14:textId="257E7BCA" w:rsidR="005C2C70"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6EBEB4F3" w14:textId="5D3D0D1E" w:rsidR="005C2C70" w:rsidRPr="004408FB" w:rsidRDefault="005C2C70"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AC3340">
        <w:rPr>
          <w:sz w:val="20"/>
          <w:szCs w:val="20"/>
        </w:rPr>
        <w:t>Please note that in previous years there was a requirement that only GPs who paid the voluntary level could nominate themselves for election. That requirement has now been removed. </w:t>
      </w:r>
    </w:p>
    <w:p w14:paraId="06F62213"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4408FB">
        <w:rPr>
          <w:sz w:val="20"/>
          <w:szCs w:val="20"/>
        </w:rPr>
        <w:t> </w:t>
      </w:r>
    </w:p>
    <w:p w14:paraId="2B85D440"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4408FB">
        <w:rPr>
          <w:sz w:val="20"/>
          <w:szCs w:val="20"/>
        </w:rPr>
        <w:t xml:space="preserve">To submit your nomination please visit </w:t>
      </w:r>
      <w:hyperlink r:id="rId14" w:history="1">
        <w:r w:rsidRPr="004408FB">
          <w:rPr>
            <w:rStyle w:val="Hyperlink"/>
            <w:color w:val="0000FF"/>
            <w:sz w:val="20"/>
            <w:szCs w:val="20"/>
          </w:rPr>
          <w:t>https://elections.bma.org.uk/</w:t>
        </w:r>
      </w:hyperlink>
      <w:r w:rsidRPr="004408FB">
        <w:rPr>
          <w:sz w:val="20"/>
          <w:szCs w:val="20"/>
        </w:rPr>
        <w:t>. The deadline for nominations is 12pm Friday 12 February. Voting will take place from 12pm 19 February to 12 March for the by-election and 19 March for all other seats.  </w:t>
      </w:r>
    </w:p>
    <w:p w14:paraId="482C5F33"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w:t>
      </w:r>
    </w:p>
    <w:p w14:paraId="694D0ED0" w14:textId="77777777" w:rsidR="00FB2FCF" w:rsidRPr="004408FB"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xml:space="preserve">For any questions relating to the role or GPC please contact </w:t>
      </w:r>
      <w:hyperlink r:id="rId15" w:history="1">
        <w:r w:rsidRPr="004408FB">
          <w:rPr>
            <w:rStyle w:val="Hyperlink"/>
            <w:color w:val="0000FF"/>
            <w:sz w:val="20"/>
            <w:szCs w:val="20"/>
          </w:rPr>
          <w:t>info.gpc@bma.org.uk</w:t>
        </w:r>
      </w:hyperlink>
      <w:r w:rsidRPr="004408FB">
        <w:rPr>
          <w:sz w:val="20"/>
          <w:szCs w:val="20"/>
          <w:u w:val="single"/>
        </w:rPr>
        <w:t> </w:t>
      </w:r>
    </w:p>
    <w:p w14:paraId="5C5254F1" w14:textId="005FB144" w:rsidR="00FB2FCF" w:rsidRPr="005C2C70" w:rsidRDefault="00FB2FCF" w:rsidP="005C2C70">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4408FB">
        <w:rPr>
          <w:sz w:val="20"/>
          <w:szCs w:val="20"/>
        </w:rPr>
        <w:t xml:space="preserve">If you have any queries regarding the election process, please contact </w:t>
      </w:r>
      <w:hyperlink r:id="rId16" w:history="1">
        <w:r w:rsidRPr="004408FB">
          <w:rPr>
            <w:rStyle w:val="Hyperlink"/>
            <w:color w:val="0000FF"/>
            <w:sz w:val="20"/>
            <w:szCs w:val="20"/>
          </w:rPr>
          <w:t>elections@bma.org.uk</w:t>
        </w:r>
      </w:hyperlink>
      <w:r w:rsidRPr="004408FB">
        <w:rPr>
          <w:sz w:val="20"/>
          <w:szCs w:val="20"/>
        </w:rPr>
        <w:t>. </w:t>
      </w:r>
    </w:p>
    <w:p w14:paraId="1600370B" w14:textId="77777777" w:rsidR="006D62D0" w:rsidRDefault="006D62D0" w:rsidP="006D62D0">
      <w:pPr>
        <w:jc w:val="both"/>
        <w:rPr>
          <w:b/>
          <w:bCs/>
        </w:rPr>
      </w:pPr>
    </w:p>
    <w:p w14:paraId="4D9CD785" w14:textId="79103382" w:rsidR="006D62D0" w:rsidRPr="004605DA" w:rsidRDefault="00FB2FCF" w:rsidP="006D62D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b/>
          <w:bCs/>
        </w:rPr>
      </w:pPr>
      <w:r>
        <w:rPr>
          <w:b/>
          <w:bCs/>
        </w:rPr>
        <w:t>4</w:t>
      </w:r>
      <w:r w:rsidR="00B22200">
        <w:rPr>
          <w:b/>
          <w:bCs/>
        </w:rPr>
        <w:t>.</w:t>
      </w:r>
      <w:r w:rsidR="00B22200">
        <w:rPr>
          <w:b/>
          <w:bCs/>
        </w:rPr>
        <w:tab/>
      </w:r>
      <w:bookmarkStart w:id="6" w:name="mark_4"/>
      <w:r w:rsidR="006D62D0" w:rsidRPr="004605DA">
        <w:rPr>
          <w:rFonts w:cstheme="minorHAnsi"/>
          <w:b/>
          <w:bCs/>
        </w:rPr>
        <w:t>Specsavers Audiology Services</w:t>
      </w:r>
      <w:bookmarkEnd w:id="6"/>
    </w:p>
    <w:p w14:paraId="1504E388" w14:textId="214C6362" w:rsidR="006D62D0" w:rsidRDefault="006D62D0" w:rsidP="006D62D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pPr>
      <w:r w:rsidRPr="00FB2FCF">
        <w:rPr>
          <w:sz w:val="20"/>
          <w:szCs w:val="20"/>
        </w:rPr>
        <w:t xml:space="preserve">As an essential healthcare provider, Specsavers would like to remind practices that they remain open to provide care to patients in your area with age related hearing loss. Specsavers is commissioned to offer NHS audiology assessment, hearing aid fitting and aftercare services by the majority of CCGs in England*, ensuring that no patient </w:t>
      </w:r>
      <w:proofErr w:type="gramStart"/>
      <w:r w:rsidRPr="00FB2FCF">
        <w:rPr>
          <w:sz w:val="20"/>
          <w:szCs w:val="20"/>
        </w:rPr>
        <w:t>has to</w:t>
      </w:r>
      <w:proofErr w:type="gramEnd"/>
      <w:r w:rsidRPr="00FB2FCF">
        <w:rPr>
          <w:sz w:val="20"/>
          <w:szCs w:val="20"/>
        </w:rPr>
        <w:t xml:space="preserve"> be isolated during the pandemic. Please see attached letter (Enc.1) for further details including the referral process</w:t>
      </w:r>
      <w:r>
        <w:t>.</w:t>
      </w:r>
    </w:p>
    <w:p w14:paraId="50588278" w14:textId="77777777" w:rsidR="00267640" w:rsidRDefault="00267640" w:rsidP="006D62D0">
      <w:pPr>
        <w:jc w:val="both"/>
      </w:pPr>
    </w:p>
    <w:p w14:paraId="04B3DB4D" w14:textId="32075216" w:rsidR="00217FF8" w:rsidRPr="00267640" w:rsidRDefault="00217FF8"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267640">
        <w:rPr>
          <w:b/>
          <w:bCs/>
        </w:rPr>
        <w:t>5.</w:t>
      </w:r>
      <w:r w:rsidRPr="00267640">
        <w:rPr>
          <w:b/>
          <w:bCs/>
        </w:rPr>
        <w:tab/>
      </w:r>
      <w:bookmarkStart w:id="7" w:name="mark_5"/>
      <w:r w:rsidRPr="00267640">
        <w:rPr>
          <w:b/>
          <w:bCs/>
        </w:rPr>
        <w:t xml:space="preserve">Inappropriate </w:t>
      </w:r>
      <w:r w:rsidR="00267640">
        <w:rPr>
          <w:b/>
          <w:bCs/>
        </w:rPr>
        <w:t>t</w:t>
      </w:r>
      <w:r w:rsidRPr="00267640">
        <w:rPr>
          <w:b/>
          <w:bCs/>
        </w:rPr>
        <w:t xml:space="preserve">ransfer of </w:t>
      </w:r>
      <w:r w:rsidR="00267640">
        <w:rPr>
          <w:b/>
          <w:bCs/>
        </w:rPr>
        <w:t>w</w:t>
      </w:r>
      <w:r w:rsidRPr="00267640">
        <w:rPr>
          <w:b/>
          <w:bCs/>
        </w:rPr>
        <w:t xml:space="preserve">orkload </w:t>
      </w:r>
      <w:r w:rsidR="00267640">
        <w:rPr>
          <w:b/>
          <w:bCs/>
        </w:rPr>
        <w:t>r</w:t>
      </w:r>
      <w:r w:rsidRPr="00267640">
        <w:rPr>
          <w:b/>
          <w:bCs/>
        </w:rPr>
        <w:t>equests</w:t>
      </w:r>
      <w:bookmarkEnd w:id="7"/>
    </w:p>
    <w:p w14:paraId="3F777D36" w14:textId="2E0254E3" w:rsidR="00267640" w:rsidRP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67640">
        <w:rPr>
          <w:sz w:val="20"/>
          <w:szCs w:val="20"/>
        </w:rPr>
        <w:t xml:space="preserve">We continue to receive notifications of inappropriate transfers of workload sent to Primary Care. We thank you for this information and we are continuing to keep a log of such incidents and will add any received for discussion. </w:t>
      </w:r>
      <w:proofErr w:type="gramStart"/>
      <w:r w:rsidRPr="00267640">
        <w:rPr>
          <w:sz w:val="20"/>
          <w:szCs w:val="20"/>
        </w:rPr>
        <w:t>In light of</w:t>
      </w:r>
      <w:proofErr w:type="gramEnd"/>
      <w:r w:rsidRPr="00267640">
        <w:rPr>
          <w:sz w:val="20"/>
          <w:szCs w:val="20"/>
        </w:rPr>
        <w:t xml:space="preserve"> this we would like to remind practices of the following information produced by the BMA which also has letter templates for you to </w:t>
      </w:r>
      <w:r w:rsidR="00BE2422" w:rsidRPr="00267640">
        <w:rPr>
          <w:sz w:val="20"/>
          <w:szCs w:val="20"/>
        </w:rPr>
        <w:t>use and</w:t>
      </w:r>
      <w:r w:rsidRPr="00267640">
        <w:rPr>
          <w:sz w:val="20"/>
          <w:szCs w:val="20"/>
        </w:rPr>
        <w:t xml:space="preserve"> </w:t>
      </w:r>
      <w:r w:rsidR="00BE2422">
        <w:rPr>
          <w:sz w:val="20"/>
          <w:szCs w:val="20"/>
        </w:rPr>
        <w:t xml:space="preserve">we </w:t>
      </w:r>
      <w:r w:rsidRPr="00267640">
        <w:rPr>
          <w:sz w:val="20"/>
          <w:szCs w:val="20"/>
        </w:rPr>
        <w:t xml:space="preserve">have provided the link below for you. </w:t>
      </w:r>
    </w:p>
    <w:p w14:paraId="660B6219" w14:textId="77777777" w:rsidR="00267640" w:rsidRPr="00267640" w:rsidRDefault="007F0012"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hyperlink r:id="rId17" w:history="1">
        <w:r w:rsidR="00267640" w:rsidRPr="00267640">
          <w:rPr>
            <w:rStyle w:val="Hyperlink"/>
            <w:sz w:val="20"/>
            <w:szCs w:val="20"/>
          </w:rPr>
          <w:t>https://www.bma.org.uk/advice-and-support/gp-practices/managing-workload/pushing-back-on-inappropriate-workload</w:t>
        </w:r>
      </w:hyperlink>
    </w:p>
    <w:p w14:paraId="712AA565" w14:textId="30BD17F0" w:rsidR="00217FF8" w:rsidRDefault="00217FF8" w:rsidP="006D62D0">
      <w:pPr>
        <w:jc w:val="both"/>
      </w:pPr>
    </w:p>
    <w:p w14:paraId="35213CCD" w14:textId="77777777" w:rsidR="005C2C70" w:rsidRDefault="005C2C70" w:rsidP="005C2C7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b/>
          <w:bCs/>
        </w:rPr>
      </w:pPr>
      <w:r w:rsidRPr="005C2C70">
        <w:rPr>
          <w:b/>
          <w:bCs/>
        </w:rPr>
        <w:t>6.</w:t>
      </w:r>
      <w:r>
        <w:tab/>
      </w:r>
      <w:bookmarkStart w:id="8" w:name="mark_6"/>
      <w:r w:rsidRPr="00AC3340">
        <w:rPr>
          <w:rFonts w:cstheme="minorHAnsi"/>
          <w:b/>
          <w:bCs/>
        </w:rPr>
        <w:t>Legal advice note commissioned by GPDF on Covid-19 vaccination programme</w:t>
      </w:r>
      <w:bookmarkEnd w:id="8"/>
    </w:p>
    <w:p w14:paraId="57264DD4" w14:textId="77777777" w:rsidR="005C2C70" w:rsidRPr="00AC3340" w:rsidRDefault="005C2C70" w:rsidP="005C2C7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AC3340">
        <w:rPr>
          <w:sz w:val="20"/>
          <w:szCs w:val="20"/>
        </w:rPr>
        <w:t xml:space="preserve">Following a request by </w:t>
      </w:r>
      <w:proofErr w:type="gramStart"/>
      <w:r w:rsidRPr="00AC3340">
        <w:rPr>
          <w:sz w:val="20"/>
          <w:szCs w:val="20"/>
        </w:rPr>
        <w:t>a number of</w:t>
      </w:r>
      <w:proofErr w:type="gramEnd"/>
      <w:r w:rsidRPr="00AC3340">
        <w:rPr>
          <w:sz w:val="20"/>
          <w:szCs w:val="20"/>
        </w:rPr>
        <w:t xml:space="preserve"> LMCs the GPDF sought legal advice on the merits of any potential legal challenge to the decision of the UK Government to change its guidance on the Covid-19 vaccination programme.</w:t>
      </w:r>
    </w:p>
    <w:p w14:paraId="7384912F" w14:textId="7A507F43" w:rsidR="005C2C70" w:rsidRPr="00AC3340" w:rsidRDefault="005C2C70" w:rsidP="005C2C7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AC3340">
        <w:rPr>
          <w:sz w:val="20"/>
          <w:szCs w:val="20"/>
        </w:rPr>
        <w:t>A summary of that advice is attached (Enc.2)</w:t>
      </w:r>
      <w:r>
        <w:rPr>
          <w:sz w:val="20"/>
          <w:szCs w:val="20"/>
        </w:rPr>
        <w:t xml:space="preserve">. This </w:t>
      </w:r>
      <w:r w:rsidRPr="00AC3340">
        <w:rPr>
          <w:sz w:val="20"/>
          <w:szCs w:val="20"/>
        </w:rPr>
        <w:t>is a generic summary that must only be used as a whole and is no substitute for fact specific advice.</w:t>
      </w:r>
    </w:p>
    <w:p w14:paraId="614C12ED" w14:textId="3FC2A9BE" w:rsidR="005C2C70" w:rsidRDefault="005C2C70" w:rsidP="006D62D0">
      <w:pPr>
        <w:jc w:val="both"/>
      </w:pPr>
    </w:p>
    <w:p w14:paraId="07CE827E" w14:textId="6FAA2ADF" w:rsidR="00267640" w:rsidRDefault="001E2094" w:rsidP="00267640">
      <w:pPr>
        <w:rPr>
          <w:b/>
          <w:bCs/>
          <w:color w:val="FF0000"/>
          <w:sz w:val="24"/>
          <w:szCs w:val="24"/>
        </w:rPr>
      </w:pPr>
      <w:r w:rsidRPr="00B22200">
        <w:rPr>
          <w:b/>
          <w:bCs/>
          <w:color w:val="FF0000"/>
          <w:sz w:val="24"/>
          <w:szCs w:val="24"/>
        </w:rPr>
        <w:t>COVID UPDATE</w:t>
      </w:r>
    </w:p>
    <w:p w14:paraId="6E3BB0CF" w14:textId="77777777" w:rsidR="005C2C70" w:rsidRDefault="005C2C70" w:rsidP="00267640">
      <w:pPr>
        <w:rPr>
          <w:b/>
          <w:bCs/>
          <w:color w:val="FF0000"/>
          <w:sz w:val="24"/>
          <w:szCs w:val="24"/>
        </w:rPr>
      </w:pPr>
    </w:p>
    <w:p w14:paraId="35743AA4" w14:textId="4AD09ADD" w:rsidR="00267640" w:rsidRP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sidRPr="00267640">
        <w:rPr>
          <w:b/>
          <w:bCs/>
        </w:rPr>
        <w:t>1.</w:t>
      </w:r>
      <w:r w:rsidR="001E2094" w:rsidRPr="00267640">
        <w:rPr>
          <w:rFonts w:cs="Arial"/>
          <w:b/>
          <w:bCs/>
          <w:position w:val="17"/>
        </w:rPr>
        <w:tab/>
      </w:r>
      <w:bookmarkStart w:id="9" w:name="mark_7"/>
      <w:r w:rsidRPr="00267640">
        <w:rPr>
          <w:b/>
          <w:bCs/>
        </w:rPr>
        <w:t xml:space="preserve">Reporting COVID cases after </w:t>
      </w:r>
      <w:r w:rsidR="00D478CA">
        <w:rPr>
          <w:b/>
          <w:bCs/>
        </w:rPr>
        <w:t>v</w:t>
      </w:r>
      <w:r w:rsidRPr="00267640">
        <w:rPr>
          <w:b/>
          <w:bCs/>
        </w:rPr>
        <w:t>accination</w:t>
      </w:r>
      <w:bookmarkEnd w:id="9"/>
    </w:p>
    <w:p w14:paraId="46FA6DBC" w14:textId="77777777" w:rsid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B0C0C"/>
          <w:sz w:val="20"/>
          <w:szCs w:val="20"/>
          <w:shd w:val="clear" w:color="auto" w:fill="FFFFFF"/>
        </w:rPr>
      </w:pPr>
      <w:r>
        <w:rPr>
          <w:sz w:val="20"/>
          <w:szCs w:val="20"/>
        </w:rPr>
        <w:t xml:space="preserve">You may have come across the following guidance pertaining to </w:t>
      </w:r>
      <w:r>
        <w:rPr>
          <w:color w:val="0B0C0C"/>
          <w:sz w:val="20"/>
          <w:szCs w:val="20"/>
          <w:shd w:val="clear" w:color="auto" w:fill="FFFFFF"/>
        </w:rPr>
        <w:t>The Public Health England (</w:t>
      </w:r>
      <w:r>
        <w:rPr>
          <w:sz w:val="20"/>
          <w:szCs w:val="20"/>
        </w:rPr>
        <w:t>PHE</w:t>
      </w:r>
      <w:r>
        <w:rPr>
          <w:color w:val="0B0C0C"/>
          <w:sz w:val="20"/>
          <w:szCs w:val="20"/>
          <w:shd w:val="clear" w:color="auto" w:fill="FFFFFF"/>
        </w:rPr>
        <w:t>) Immunisation Department  conducting </w:t>
      </w:r>
      <w:hyperlink r:id="rId18" w:history="1">
        <w:r>
          <w:rPr>
            <w:rStyle w:val="Hyperlink"/>
            <w:color w:val="4C2C92"/>
            <w:sz w:val="20"/>
            <w:szCs w:val="20"/>
            <w:bdr w:val="none" w:sz="0" w:space="0" w:color="auto" w:frame="1"/>
            <w:shd w:val="clear" w:color="auto" w:fill="FFFFFF"/>
          </w:rPr>
          <w:t>enhanced surveillance</w:t>
        </w:r>
      </w:hyperlink>
      <w:r>
        <w:rPr>
          <w:color w:val="0B0C0C"/>
          <w:sz w:val="20"/>
          <w:szCs w:val="20"/>
          <w:shd w:val="clear" w:color="auto" w:fill="FFFFFF"/>
        </w:rPr>
        <w:t> of cases of infection in vaccinated individuals.</w:t>
      </w:r>
    </w:p>
    <w:p w14:paraId="10509C11" w14:textId="77777777" w:rsidR="00267640" w:rsidRDefault="007F0012"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240"/>
        <w:jc w:val="both"/>
        <w:rPr>
          <w:sz w:val="20"/>
          <w:szCs w:val="20"/>
        </w:rPr>
      </w:pPr>
      <w:hyperlink r:id="rId19" w:history="1">
        <w:r w:rsidR="00267640">
          <w:rPr>
            <w:rStyle w:val="Hyperlink"/>
            <w:sz w:val="20"/>
            <w:szCs w:val="20"/>
          </w:rPr>
          <w:t>https://www.gov.uk/government/publications/covid-19-enhanced-surveillance-of-cases-in-vaccinated-individuals/reporting-to-the-enhanced-surveillance-of-covid-19-cases-in-vaccinated-individuals</w:t>
        </w:r>
      </w:hyperlink>
    </w:p>
    <w:p w14:paraId="7F7FF8AF" w14:textId="77777777" w:rsid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Pr>
          <w:sz w:val="20"/>
          <w:szCs w:val="20"/>
        </w:rPr>
        <w:t>This was raised with PHE by the BMA to which the following response was given:</w:t>
      </w:r>
    </w:p>
    <w:p w14:paraId="6AB3D6F8" w14:textId="31C1CC68" w:rsid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i/>
          <w:iCs/>
          <w:color w:val="000000"/>
          <w:sz w:val="20"/>
          <w:szCs w:val="20"/>
        </w:rPr>
      </w:pPr>
      <w:r>
        <w:rPr>
          <w:i/>
          <w:iCs/>
          <w:color w:val="000000"/>
          <w:sz w:val="20"/>
          <w:szCs w:val="20"/>
        </w:rPr>
        <w:t xml:space="preserve">I raised it with </w:t>
      </w:r>
      <w:proofErr w:type="gramStart"/>
      <w:r>
        <w:rPr>
          <w:i/>
          <w:iCs/>
          <w:color w:val="000000"/>
          <w:sz w:val="20"/>
          <w:szCs w:val="20"/>
        </w:rPr>
        <w:t>PHE</w:t>
      </w:r>
      <w:proofErr w:type="gramEnd"/>
      <w:r>
        <w:rPr>
          <w:i/>
          <w:iCs/>
          <w:color w:val="000000"/>
          <w:sz w:val="20"/>
          <w:szCs w:val="20"/>
        </w:rPr>
        <w:t xml:space="preserve"> and they say that whilst they'd welcome practices completing it if possible it's primarily for hospitals to complete when they admit positive cases post vaccination.  They will then do the necessary PCR and sample testing to allow for analysis of any variants.</w:t>
      </w:r>
    </w:p>
    <w:p w14:paraId="06CC1806" w14:textId="5DEC00E9" w:rsidR="00267640" w:rsidRDefault="00267640" w:rsidP="0026764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roofErr w:type="gramStart"/>
      <w:r>
        <w:rPr>
          <w:sz w:val="20"/>
          <w:szCs w:val="20"/>
        </w:rPr>
        <w:t>Therefore</w:t>
      </w:r>
      <w:proofErr w:type="gramEnd"/>
      <w:r>
        <w:rPr>
          <w:sz w:val="20"/>
          <w:szCs w:val="20"/>
        </w:rPr>
        <w:t xml:space="preserve"> the</w:t>
      </w:r>
      <w:r w:rsidRPr="00BE2422">
        <w:rPr>
          <w:b/>
          <w:bCs/>
          <w:sz w:val="20"/>
          <w:szCs w:val="20"/>
        </w:rPr>
        <w:t xml:space="preserve"> </w:t>
      </w:r>
      <w:r w:rsidRPr="00BE2422">
        <w:rPr>
          <w:b/>
          <w:bCs/>
          <w:sz w:val="20"/>
          <w:szCs w:val="20"/>
          <w:u w:val="single"/>
        </w:rPr>
        <w:t>current</w:t>
      </w:r>
      <w:r>
        <w:rPr>
          <w:sz w:val="20"/>
          <w:szCs w:val="20"/>
        </w:rPr>
        <w:t xml:space="preserve"> guidance stipulates that this it is not mandatory for GP’s to complete at this present time. </w:t>
      </w:r>
    </w:p>
    <w:p w14:paraId="35C99857" w14:textId="43A40106" w:rsidR="00267640" w:rsidRDefault="00267640" w:rsidP="00267640">
      <w:pPr>
        <w:jc w:val="both"/>
        <w:rPr>
          <w:sz w:val="20"/>
          <w:szCs w:val="20"/>
        </w:rPr>
      </w:pPr>
    </w:p>
    <w:p w14:paraId="05C82CE8" w14:textId="77777777" w:rsidR="006938BC" w:rsidRPr="00267640" w:rsidRDefault="006938BC" w:rsidP="00267640">
      <w:pPr>
        <w:jc w:val="both"/>
        <w:rPr>
          <w:sz w:val="20"/>
          <w:szCs w:val="20"/>
        </w:rPr>
      </w:pPr>
    </w:p>
    <w:p w14:paraId="0E076922" w14:textId="4D58FAB8" w:rsidR="00267640" w:rsidRPr="00B22200" w:rsidRDefault="00C116BC" w:rsidP="00B2220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sidRPr="00267640">
        <w:rPr>
          <w:b/>
          <w:bCs/>
          <w:color w:val="FF0000"/>
        </w:rPr>
        <w:t>Pl</w:t>
      </w:r>
      <w:r>
        <w:rPr>
          <w:b/>
          <w:bCs/>
          <w:color w:val="FF0000"/>
        </w:rPr>
        <w:t xml:space="preserve">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3A6EF5AF" w14:textId="7D2F16E9" w:rsidR="006938BC" w:rsidRDefault="006938BC" w:rsidP="006938BC">
      <w:pPr>
        <w:rPr>
          <w:b/>
          <w:bCs/>
          <w:u w:val="single"/>
        </w:rPr>
      </w:pPr>
    </w:p>
    <w:p w14:paraId="128EE64D" w14:textId="0F25E2FB" w:rsidR="005C2C70" w:rsidRDefault="005C2C70" w:rsidP="006938BC">
      <w:pPr>
        <w:rPr>
          <w:b/>
          <w:bCs/>
          <w:u w:val="single"/>
        </w:rPr>
      </w:pPr>
    </w:p>
    <w:p w14:paraId="483F6C84" w14:textId="77777777" w:rsidR="005C2C70" w:rsidRDefault="005C2C70" w:rsidP="006938BC">
      <w:pPr>
        <w:rPr>
          <w:b/>
          <w:bCs/>
          <w:u w:val="single"/>
        </w:rPr>
      </w:pPr>
    </w:p>
    <w:p w14:paraId="4DD40859" w14:textId="77777777" w:rsidR="006938BC" w:rsidRPr="008D3F6E" w:rsidRDefault="006938BC" w:rsidP="006938B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20" w:history="1">
        <w:r w:rsidRPr="00B42CEB">
          <w:rPr>
            <w:rStyle w:val="Hyperlink"/>
            <w:b/>
            <w:bCs/>
            <w:u w:val="none"/>
          </w:rPr>
          <w:t>birmingham.lmc@nhs.net</w:t>
        </w:r>
      </w:hyperlink>
    </w:p>
    <w:p w14:paraId="0896F76D" w14:textId="77777777" w:rsidR="006938BC" w:rsidRDefault="006938BC" w:rsidP="006938BC"/>
    <w:p w14:paraId="229ED2C3" w14:textId="77777777" w:rsidR="006938BC" w:rsidRDefault="006938BC" w:rsidP="006938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4208453A" w14:textId="77777777" w:rsidR="006938BC" w:rsidRPr="00797412" w:rsidRDefault="006938BC" w:rsidP="006938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30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1"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5254995C" w14:textId="77777777" w:rsidR="006938BC" w:rsidRPr="00797412" w:rsidRDefault="006938BC" w:rsidP="006938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2"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128C4FB7" w14:textId="77777777" w:rsidR="006938BC" w:rsidRDefault="006938BC" w:rsidP="006938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2BDAEB89" w14:textId="77777777" w:rsidR="006938BC" w:rsidRDefault="006938BC" w:rsidP="006938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r w:rsidRPr="00797412">
        <w:rPr>
          <w:b/>
          <w:bCs/>
        </w:rPr>
        <w:t>NHS ENGLAND:</w:t>
      </w:r>
      <w:r w:rsidRPr="00797412">
        <w:t xml:space="preserve"> </w:t>
      </w:r>
      <w:hyperlink r:id="rId23" w:history="1">
        <w:r w:rsidRPr="00797412">
          <w:rPr>
            <w:rStyle w:val="Hyperlink"/>
          </w:rPr>
          <w:t>https://www.england.nhs.uk/publication/implementing-phase-3-of-the-nhs-response-to-the-covid-19-pandemic/</w:t>
        </w:r>
      </w:hyperlink>
    </w:p>
    <w:p w14:paraId="088AA843" w14:textId="77777777" w:rsidR="006938BC" w:rsidRDefault="006938BC" w:rsidP="006938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p>
    <w:p w14:paraId="44A4FD51" w14:textId="77777777" w:rsidR="006938BC" w:rsidRPr="00FE1174" w:rsidRDefault="006938BC" w:rsidP="00FE1174"/>
    <w:sectPr w:rsidR="006938BC" w:rsidRPr="00FE1174" w:rsidSect="002169EC">
      <w:headerReference w:type="default" r:id="rId24"/>
      <w:footerReference w:type="default" r:id="rId25"/>
      <w:pgSz w:w="11906" w:h="16838"/>
      <w:pgMar w:top="1440" w:right="1440" w:bottom="993" w:left="1440"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A285C" w14:textId="77777777" w:rsidR="007F0012" w:rsidRDefault="007F0012" w:rsidP="001B4E81">
      <w:pPr>
        <w:spacing w:after="0" w:line="240" w:lineRule="auto"/>
      </w:pPr>
      <w:r>
        <w:separator/>
      </w:r>
    </w:p>
  </w:endnote>
  <w:endnote w:type="continuationSeparator" w:id="0">
    <w:p w14:paraId="53F91141" w14:textId="77777777" w:rsidR="007F0012" w:rsidRDefault="007F0012"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5161" w14:textId="082627BD" w:rsidR="00C116BC" w:rsidRPr="00BA067B" w:rsidRDefault="00C116BC" w:rsidP="00C116BC">
    <w:pPr>
      <w:shd w:val="clear" w:color="auto" w:fill="FFFFFF"/>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90A7B" w14:textId="77777777" w:rsidR="007F0012" w:rsidRDefault="007F0012" w:rsidP="001B4E81">
      <w:pPr>
        <w:spacing w:after="0" w:line="240" w:lineRule="auto"/>
      </w:pPr>
      <w:r>
        <w:separator/>
      </w:r>
    </w:p>
  </w:footnote>
  <w:footnote w:type="continuationSeparator" w:id="0">
    <w:p w14:paraId="09B4DB4C" w14:textId="77777777" w:rsidR="007F0012" w:rsidRDefault="007F0012"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26959"/>
    <w:multiLevelType w:val="hybridMultilevel"/>
    <w:tmpl w:val="C2D29D34"/>
    <w:lvl w:ilvl="0" w:tplc="C240AF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C402A"/>
    <w:multiLevelType w:val="multilevel"/>
    <w:tmpl w:val="83721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6514B"/>
    <w:multiLevelType w:val="multilevel"/>
    <w:tmpl w:val="D7DA6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6C1E13"/>
    <w:multiLevelType w:val="multilevel"/>
    <w:tmpl w:val="D25CA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125F7"/>
    <w:multiLevelType w:val="hybridMultilevel"/>
    <w:tmpl w:val="24F2C608"/>
    <w:lvl w:ilvl="0" w:tplc="9FC0E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030DE"/>
    <w:multiLevelType w:val="hybridMultilevel"/>
    <w:tmpl w:val="194CED14"/>
    <w:lvl w:ilvl="0" w:tplc="A9BE807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755FB"/>
    <w:multiLevelType w:val="hybridMultilevel"/>
    <w:tmpl w:val="A9BAC8F0"/>
    <w:lvl w:ilvl="0" w:tplc="34086F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5"/>
  </w:num>
  <w:num w:numId="4">
    <w:abstractNumId w:val="4"/>
  </w:num>
  <w:num w:numId="5">
    <w:abstractNumId w:val="13"/>
  </w:num>
  <w:num w:numId="6">
    <w:abstractNumId w:val="0"/>
  </w:num>
  <w:num w:numId="7">
    <w:abstractNumId w:val="9"/>
  </w:num>
  <w:num w:numId="8">
    <w:abstractNumId w:val="14"/>
  </w:num>
  <w:num w:numId="9">
    <w:abstractNumId w:val="6"/>
  </w:num>
  <w:num w:numId="10">
    <w:abstractNumId w:val="16"/>
  </w:num>
  <w:num w:numId="11">
    <w:abstractNumId w:val="10"/>
  </w:num>
  <w:num w:numId="12">
    <w:abstractNumId w:val="12"/>
  </w:num>
  <w:num w:numId="13">
    <w:abstractNumId w:val="1"/>
  </w:num>
  <w:num w:numId="14">
    <w:abstractNumId w:val="7"/>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A0"/>
    <w:rsid w:val="00010C70"/>
    <w:rsid w:val="000525F3"/>
    <w:rsid w:val="0006094A"/>
    <w:rsid w:val="000A38D8"/>
    <w:rsid w:val="000C2FD6"/>
    <w:rsid w:val="000F0353"/>
    <w:rsid w:val="0011157A"/>
    <w:rsid w:val="0012701E"/>
    <w:rsid w:val="00154EBD"/>
    <w:rsid w:val="00170690"/>
    <w:rsid w:val="00177EAB"/>
    <w:rsid w:val="001808CC"/>
    <w:rsid w:val="001B4E81"/>
    <w:rsid w:val="001E2094"/>
    <w:rsid w:val="001F20F9"/>
    <w:rsid w:val="001F50DA"/>
    <w:rsid w:val="002162D0"/>
    <w:rsid w:val="002169EC"/>
    <w:rsid w:val="00217FF8"/>
    <w:rsid w:val="00257079"/>
    <w:rsid w:val="00262DFF"/>
    <w:rsid w:val="00267640"/>
    <w:rsid w:val="00267854"/>
    <w:rsid w:val="0027009C"/>
    <w:rsid w:val="002763E0"/>
    <w:rsid w:val="002B52E3"/>
    <w:rsid w:val="002C2EA3"/>
    <w:rsid w:val="003029B2"/>
    <w:rsid w:val="00304460"/>
    <w:rsid w:val="00322467"/>
    <w:rsid w:val="00327F6D"/>
    <w:rsid w:val="003307E4"/>
    <w:rsid w:val="00334058"/>
    <w:rsid w:val="003731E2"/>
    <w:rsid w:val="003A2046"/>
    <w:rsid w:val="003C0F28"/>
    <w:rsid w:val="0042361F"/>
    <w:rsid w:val="00424321"/>
    <w:rsid w:val="00471CFB"/>
    <w:rsid w:val="004B5D50"/>
    <w:rsid w:val="004C5B17"/>
    <w:rsid w:val="004D0C57"/>
    <w:rsid w:val="004F7CC6"/>
    <w:rsid w:val="005318E5"/>
    <w:rsid w:val="00552E3F"/>
    <w:rsid w:val="00557D6D"/>
    <w:rsid w:val="005C2C70"/>
    <w:rsid w:val="005F5155"/>
    <w:rsid w:val="00646733"/>
    <w:rsid w:val="00654AA4"/>
    <w:rsid w:val="0068267C"/>
    <w:rsid w:val="006938BC"/>
    <w:rsid w:val="00695059"/>
    <w:rsid w:val="006A3C3F"/>
    <w:rsid w:val="006D030D"/>
    <w:rsid w:val="006D0B43"/>
    <w:rsid w:val="006D4E3F"/>
    <w:rsid w:val="006D62D0"/>
    <w:rsid w:val="00725DA7"/>
    <w:rsid w:val="0078159D"/>
    <w:rsid w:val="007A050A"/>
    <w:rsid w:val="007A3FB8"/>
    <w:rsid w:val="007F0012"/>
    <w:rsid w:val="007F5F4E"/>
    <w:rsid w:val="008119D7"/>
    <w:rsid w:val="00816E1F"/>
    <w:rsid w:val="00875A27"/>
    <w:rsid w:val="008855B8"/>
    <w:rsid w:val="00893F11"/>
    <w:rsid w:val="008C56EA"/>
    <w:rsid w:val="008E369B"/>
    <w:rsid w:val="008E6C7C"/>
    <w:rsid w:val="009133B0"/>
    <w:rsid w:val="00933287"/>
    <w:rsid w:val="0097290E"/>
    <w:rsid w:val="009760A4"/>
    <w:rsid w:val="0098382C"/>
    <w:rsid w:val="0098389F"/>
    <w:rsid w:val="009A09DB"/>
    <w:rsid w:val="009C67A9"/>
    <w:rsid w:val="009D15F5"/>
    <w:rsid w:val="009E4658"/>
    <w:rsid w:val="00A552F2"/>
    <w:rsid w:val="00A7150C"/>
    <w:rsid w:val="00AD0E2F"/>
    <w:rsid w:val="00AD5F61"/>
    <w:rsid w:val="00AE3AD9"/>
    <w:rsid w:val="00AF39CC"/>
    <w:rsid w:val="00B22200"/>
    <w:rsid w:val="00B479C2"/>
    <w:rsid w:val="00B9314F"/>
    <w:rsid w:val="00BA4459"/>
    <w:rsid w:val="00BC4341"/>
    <w:rsid w:val="00BE155D"/>
    <w:rsid w:val="00BE2422"/>
    <w:rsid w:val="00BF3E5E"/>
    <w:rsid w:val="00C04D98"/>
    <w:rsid w:val="00C116BC"/>
    <w:rsid w:val="00C77C64"/>
    <w:rsid w:val="00C81BDE"/>
    <w:rsid w:val="00C97903"/>
    <w:rsid w:val="00CF1FD7"/>
    <w:rsid w:val="00CF6C14"/>
    <w:rsid w:val="00CF75ED"/>
    <w:rsid w:val="00D36011"/>
    <w:rsid w:val="00D478CA"/>
    <w:rsid w:val="00D72E12"/>
    <w:rsid w:val="00D81F48"/>
    <w:rsid w:val="00D847C3"/>
    <w:rsid w:val="00D8496B"/>
    <w:rsid w:val="00DB088B"/>
    <w:rsid w:val="00DB196B"/>
    <w:rsid w:val="00DF0C23"/>
    <w:rsid w:val="00E40AC3"/>
    <w:rsid w:val="00E95DC1"/>
    <w:rsid w:val="00EB2C00"/>
    <w:rsid w:val="00ED0645"/>
    <w:rsid w:val="00EE6841"/>
    <w:rsid w:val="00EF7465"/>
    <w:rsid w:val="00F15AC5"/>
    <w:rsid w:val="00F20872"/>
    <w:rsid w:val="00F55A0C"/>
    <w:rsid w:val="00F662DF"/>
    <w:rsid w:val="00F84C14"/>
    <w:rsid w:val="00FA03CF"/>
    <w:rsid w:val="00FB2FCF"/>
    <w:rsid w:val="00FB39FF"/>
    <w:rsid w:val="00FD2F1F"/>
    <w:rsid w:val="00FE1174"/>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C116B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E3AD9"/>
    <w:pPr>
      <w:spacing w:after="0" w:line="240" w:lineRule="auto"/>
    </w:pPr>
  </w:style>
  <w:style w:type="character" w:styleId="Strong">
    <w:name w:val="Strong"/>
    <w:basedOn w:val="DefaultParagraphFont"/>
    <w:uiPriority w:val="22"/>
    <w:qFormat/>
    <w:rsid w:val="00ED0645"/>
    <w:rPr>
      <w:b/>
      <w:bCs/>
    </w:rPr>
  </w:style>
  <w:style w:type="paragraph" w:customStyle="1" w:styleId="08bodycopy">
    <w:name w:val="08bodycopy"/>
    <w:basedOn w:val="Normal"/>
    <w:rsid w:val="000A38D8"/>
    <w:pPr>
      <w:spacing w:after="0" w:line="240" w:lineRule="auto"/>
    </w:pPr>
    <w:rPr>
      <w:rFonts w:ascii="Calibri" w:hAnsi="Calibri" w:cs="Times New Roman"/>
      <w:lang w:eastAsia="en-GB"/>
    </w:rPr>
  </w:style>
  <w:style w:type="paragraph" w:customStyle="1" w:styleId="xmsonormal">
    <w:name w:val="xmsonormal"/>
    <w:basedOn w:val="Normal"/>
    <w:rsid w:val="007A050A"/>
    <w:pPr>
      <w:spacing w:after="0" w:line="240" w:lineRule="auto"/>
    </w:pPr>
    <w:rPr>
      <w:rFonts w:ascii="Calibri" w:hAnsi="Calibri" w:cs="Times New Roman"/>
      <w:lang w:eastAsia="en-GB"/>
    </w:rPr>
  </w:style>
  <w:style w:type="paragraph" w:styleId="NormalWeb">
    <w:name w:val="Normal (Web)"/>
    <w:basedOn w:val="Normal"/>
    <w:uiPriority w:val="99"/>
    <w:unhideWhenUsed/>
    <w:rsid w:val="00EB2C00"/>
    <w:pPr>
      <w:spacing w:before="100" w:beforeAutospacing="1" w:after="100" w:afterAutospacing="1" w:line="240" w:lineRule="auto"/>
    </w:pPr>
    <w:rPr>
      <w:rFonts w:ascii="Calibri" w:hAnsi="Calibri" w:cs="Calibri"/>
      <w:lang w:eastAsia="en-GB"/>
    </w:rPr>
  </w:style>
  <w:style w:type="paragraph" w:customStyle="1" w:styleId="Default">
    <w:name w:val="Default"/>
    <w:rsid w:val="00F15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157182843">
      <w:bodyDiv w:val="1"/>
      <w:marLeft w:val="0"/>
      <w:marRight w:val="0"/>
      <w:marTop w:val="0"/>
      <w:marBottom w:val="0"/>
      <w:divBdr>
        <w:top w:val="none" w:sz="0" w:space="0" w:color="auto"/>
        <w:left w:val="none" w:sz="0" w:space="0" w:color="auto"/>
        <w:bottom w:val="none" w:sz="0" w:space="0" w:color="auto"/>
        <w:right w:val="none" w:sz="0" w:space="0" w:color="auto"/>
      </w:divBdr>
    </w:div>
    <w:div w:id="124252608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0492358">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9161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a.org.uk/news-and-opinion/pcn-des-ballot-results-announced" TargetMode="External"/><Relationship Id="rId18" Type="http://schemas.openxmlformats.org/officeDocument/2006/relationships/hyperlink" Target="https://www.gov.uk/government/publications/covid-19-enhanced-surveillance-of-cases-in-vaccinated-individua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covid-19/gp-practices/covid-19-toolkit-for-gps-and-gp-practices" TargetMode="External"/><Relationship Id="rId7" Type="http://schemas.openxmlformats.org/officeDocument/2006/relationships/settings" Target="settings.xml"/><Relationship Id="rId12" Type="http://schemas.openxmlformats.org/officeDocument/2006/relationships/hyperlink" Target="https://elinkeu.clickdimensions.com/c/6/?T=NTgyNTUzNzk%3AcDEtYjIxMDI2LTAzYTIyYTYwMzQ2OTQ2NGE5ZWNiNTZmNTE0ZjJjZjVm%3Ad2VuZHkubG92ZXJpZGdlQG5ocy5uZXQ%3AbGVhZC1iZmQ2M2MwY2NhNWZlYjExODlmNTAwMGQzYTg2YjhkNS1jYmU0NmI4ZGUxMjA0NTZmYTNkYTI4NDRkYjBiNTQ3MQ%3AZmFsc2U%3AMQ%3A%3AaHR0cHM6Ly93d3cuZW5nbGFuZC5uaHMudWsvY29yb25hdmlydXMvd3AtY29udGVudC91cGxvYWRzL3NpdGVzLzUyLzIwMjAvMDMvQzEwMjZfRnJlZWluZy11cC1HUC1wcmFjdGljZXMtbGV0dGVyXzA3MDEyMS5wZGY_X2NsZGVlPWQyVnVaSGt1Ykc5MlpYSnBaR2RsUUc1b2N5NXVaWFElM2QmcmVjaXBpZW50aWQ9bGVhZC1iZmQ2M2MwY2NhNWZlYjExODlmNTAwMGQzYTg2YjhkNS1jYmU0NmI4ZGUxMjA0NTZmYTNkYTI4NDRkYjBiNTQ3MSZlc2lkPTZmMzg2MzJkLWYzNWYtZWIxMS1hODEyLTAwMjI0ODFhN2E2Mg&amp;K=7VvccJPzIXmSTO87VJgXcA" TargetMode="External"/><Relationship Id="rId17" Type="http://schemas.openxmlformats.org/officeDocument/2006/relationships/hyperlink" Target="https://www.bma.org.uk/advice-and-support/gp-practices/managing-workload/pushing-back-on-inappropriate-work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lections@bma.org.uk"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nkeu.clickdimensions.com/c/6/?T=NTgyNTUzNzk%3AcDEtYjIxMDI2LTAzYTIyYTYwMzQ2OTQ2NGE5ZWNiNTZmNTE0ZjJjZjVm%3Ad2VuZHkubG92ZXJpZGdlQG5ocy5uZXQ%3AbGVhZC1iZmQ2M2MwY2NhNWZlYjExODlmNTAwMGQzYTg2YjhkNS1jYmU0NmI4ZGUxMjA0NTZmYTNkYTI4NDRkYjBiNTQ3MQ%3AZmFsc2U%3AMA%3A%3AaHR0cHM6Ly93d3cubndycy5uaHMudWsvP19jbGRlZT1kMlZ1WkhrdWJHOTJaWEpwWkdkbFFHNW9jeTV1WlhRJTNkJnJlY2lwaWVudGlkPWxlYWQtYmZkNjNjMGNjYTVmZWIxMTg5ZjUwMDBkM2E4NmI4ZDUtY2JlNDZiOGRlMTIwNDU2ZmEzZGEyODQ0ZGIwYjU0NzEmZXNpZD02ZjM4NjMyZC1mMzVmLWViMTEtYTgxMi0wMDIyNDgxYTdhNjI&amp;K=h42PHHqZ4GP2yYhuv-lv6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gpc@bma.org.uk" TargetMode="External"/><Relationship Id="rId23" Type="http://schemas.openxmlformats.org/officeDocument/2006/relationships/hyperlink" Target="https://www.england.nhs.uk/publication/implementing-phase-3-of-the-nhs-response-to-the-covid-19-pandemic/" TargetMode="External"/><Relationship Id="rId10" Type="http://schemas.openxmlformats.org/officeDocument/2006/relationships/endnotes" Target="endnotes.xml"/><Relationship Id="rId19" Type="http://schemas.openxmlformats.org/officeDocument/2006/relationships/hyperlink" Target="https://www.gov.uk/government/publications/covid-19-enhanced-surveillance-of-cases-in-vaccinated-individuals/reporting-to-the-enhanced-surveillance-of-covid-19-cases-in-vaccinated-individ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ctions.bma.org.uk"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6</cp:revision>
  <dcterms:created xsi:type="dcterms:W3CDTF">2021-01-29T11:34:00Z</dcterms:created>
  <dcterms:modified xsi:type="dcterms:W3CDTF">2021-01-29T15:28:00Z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