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0E415" w14:textId="079CDD4B"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8240"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5EC7C83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349D7">
                              <w:rPr>
                                <w:b/>
                                <w:bCs/>
                                <w:i/>
                                <w:iCs/>
                                <w:color w:val="4472C4" w:themeColor="accent1"/>
                                <w:sz w:val="44"/>
                                <w:szCs w:val="44"/>
                              </w:rPr>
                              <w:t>–</w:t>
                            </w:r>
                            <w:r>
                              <w:rPr>
                                <w:b/>
                                <w:bCs/>
                                <w:i/>
                                <w:iCs/>
                                <w:color w:val="4472C4" w:themeColor="accent1"/>
                                <w:sz w:val="44"/>
                                <w:szCs w:val="44"/>
                              </w:rPr>
                              <w:t xml:space="preserve"> </w:t>
                            </w:r>
                            <w:r w:rsidR="000C6FCC">
                              <w:rPr>
                                <w:b/>
                                <w:bCs/>
                                <w:i/>
                                <w:iCs/>
                                <w:color w:val="4472C4" w:themeColor="accent1"/>
                                <w:sz w:val="44"/>
                                <w:szCs w:val="44"/>
                              </w:rPr>
                              <w:t>12</w:t>
                            </w:r>
                            <w:r w:rsidR="000C6FCC" w:rsidRPr="000C6FCC">
                              <w:rPr>
                                <w:b/>
                                <w:bCs/>
                                <w:i/>
                                <w:iCs/>
                                <w:color w:val="4472C4" w:themeColor="accent1"/>
                                <w:sz w:val="44"/>
                                <w:szCs w:val="44"/>
                                <w:vertAlign w:val="superscript"/>
                              </w:rPr>
                              <w:t>th</w:t>
                            </w:r>
                            <w:r w:rsidR="000C6FCC">
                              <w:rPr>
                                <w:b/>
                                <w:bCs/>
                                <w:i/>
                                <w:iCs/>
                                <w:color w:val="4472C4" w:themeColor="accent1"/>
                                <w:sz w:val="44"/>
                                <w:szCs w:val="44"/>
                              </w:rPr>
                              <w:t xml:space="preserve">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5EC7C83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349D7">
                        <w:rPr>
                          <w:b/>
                          <w:bCs/>
                          <w:i/>
                          <w:iCs/>
                          <w:color w:val="4472C4" w:themeColor="accent1"/>
                          <w:sz w:val="44"/>
                          <w:szCs w:val="44"/>
                        </w:rPr>
                        <w:t>–</w:t>
                      </w:r>
                      <w:r>
                        <w:rPr>
                          <w:b/>
                          <w:bCs/>
                          <w:i/>
                          <w:iCs/>
                          <w:color w:val="4472C4" w:themeColor="accent1"/>
                          <w:sz w:val="44"/>
                          <w:szCs w:val="44"/>
                        </w:rPr>
                        <w:t xml:space="preserve"> </w:t>
                      </w:r>
                      <w:r w:rsidR="000C6FCC">
                        <w:rPr>
                          <w:b/>
                          <w:bCs/>
                          <w:i/>
                          <w:iCs/>
                          <w:color w:val="4472C4" w:themeColor="accent1"/>
                          <w:sz w:val="44"/>
                          <w:szCs w:val="44"/>
                        </w:rPr>
                        <w:t>12</w:t>
                      </w:r>
                      <w:r w:rsidR="000C6FCC" w:rsidRPr="000C6FCC">
                        <w:rPr>
                          <w:b/>
                          <w:bCs/>
                          <w:i/>
                          <w:iCs/>
                          <w:color w:val="4472C4" w:themeColor="accent1"/>
                          <w:sz w:val="44"/>
                          <w:szCs w:val="44"/>
                          <w:vertAlign w:val="superscript"/>
                        </w:rPr>
                        <w:t>th</w:t>
                      </w:r>
                      <w:r w:rsidR="000C6FCC">
                        <w:rPr>
                          <w:b/>
                          <w:bCs/>
                          <w:i/>
                          <w:iCs/>
                          <w:color w:val="4472C4" w:themeColor="accent1"/>
                          <w:sz w:val="44"/>
                          <w:szCs w:val="44"/>
                        </w:rPr>
                        <w:t xml:space="preserve"> August 2022</w:t>
                      </w:r>
                    </w:p>
                  </w:txbxContent>
                </v:textbox>
                <w10:wrap type="topAndBottom" anchorx="margin"/>
              </v:shape>
            </w:pict>
          </mc:Fallback>
        </mc:AlternateContent>
      </w:r>
    </w:p>
    <w:p w14:paraId="1144F442" w14:textId="10CBD048" w:rsidR="00045066" w:rsidRPr="00045066" w:rsidRDefault="00045066" w:rsidP="001903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Pr>
          <w:b/>
          <w:bCs/>
        </w:rPr>
        <w:t>1.</w:t>
      </w:r>
      <w:r w:rsidRPr="00045066">
        <w:rPr>
          <w:b/>
          <w:bCs/>
        </w:rPr>
        <w:t>BMA statement: Death of Dr Gail Milligan – Wellbeing services</w:t>
      </w:r>
    </w:p>
    <w:bookmarkEnd w:id="0"/>
    <w:p w14:paraId="1D5B500F" w14:textId="77777777" w:rsidR="00045066" w:rsidRPr="00045066" w:rsidRDefault="00045066" w:rsidP="001903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45066">
        <w:t xml:space="preserve">Following the deeply distressing news regarding the death of Dr Gail Milligan, the BMA has released the following statement: </w:t>
      </w:r>
      <w:hyperlink r:id="rId11" w:history="1">
        <w:r w:rsidRPr="00045066">
          <w:rPr>
            <w:rStyle w:val="Hyperlink"/>
          </w:rPr>
          <w:t>https://www.bma.org.uk/bma-media-centre/bma-offers-deepest-condolences-to-family-of-surrey-gp-dr-gail-milligan</w:t>
        </w:r>
      </w:hyperlink>
    </w:p>
    <w:p w14:paraId="528A9EE2" w14:textId="77777777" w:rsidR="00045066" w:rsidRDefault="00045066" w:rsidP="001903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45066">
        <w:t>Information regarding wellbeing services available to doctors can be found at the end of the statement.</w:t>
      </w:r>
    </w:p>
    <w:p w14:paraId="3D8FD8E1" w14:textId="774923EB" w:rsidR="002B26EA" w:rsidRDefault="002B26EA" w:rsidP="003515F9">
      <w:pPr>
        <w:spacing w:before="240"/>
        <w:rPr>
          <w:rFonts w:cstheme="minorHAnsi"/>
          <w:b/>
          <w:bCs/>
          <w:color w:val="0000FF"/>
          <w:sz w:val="21"/>
          <w:szCs w:val="21"/>
          <w:lang w:eastAsia="en-GB"/>
        </w:rPr>
      </w:pPr>
    </w:p>
    <w:p w14:paraId="142D4DC0" w14:textId="77777777" w:rsidR="002B26EA" w:rsidRDefault="002B26EA" w:rsidP="003515F9">
      <w:pPr>
        <w:spacing w:before="240"/>
        <w:rPr>
          <w:rFonts w:cstheme="minorHAnsi"/>
          <w:b/>
          <w:bCs/>
          <w:color w:val="0000FF"/>
          <w:sz w:val="21"/>
          <w:szCs w:val="21"/>
          <w:lang w:eastAsia="en-GB"/>
        </w:rPr>
      </w:pPr>
    </w:p>
    <w:tbl>
      <w:tblPr>
        <w:tblpPr w:leftFromText="45" w:rightFromText="45" w:vertAnchor="text" w:horzAnchor="margin" w:tblpY="-12301"/>
        <w:tblOverlap w:val="never"/>
        <w:tblW w:w="10000" w:type="pct"/>
        <w:tblCellMar>
          <w:left w:w="0" w:type="dxa"/>
          <w:right w:w="0" w:type="dxa"/>
        </w:tblCellMar>
        <w:tblLook w:val="04A0" w:firstRow="1" w:lastRow="0" w:firstColumn="1" w:lastColumn="0" w:noHBand="0" w:noVBand="1"/>
      </w:tblPr>
      <w:tblGrid>
        <w:gridCol w:w="17491"/>
        <w:gridCol w:w="561"/>
      </w:tblGrid>
      <w:tr w:rsidR="00634149" w:rsidRPr="00ED2B2C" w14:paraId="7B723423" w14:textId="77777777" w:rsidTr="00634149">
        <w:tc>
          <w:tcPr>
            <w:tcW w:w="0" w:type="auto"/>
          </w:tcPr>
          <w:p w14:paraId="5D04FA9C" w14:textId="77777777" w:rsidR="00634149" w:rsidRDefault="00634149"/>
          <w:p w14:paraId="146E031C" w14:textId="77777777" w:rsidR="00634149" w:rsidRDefault="00634149"/>
          <w:p w14:paraId="39114F90" w14:textId="71D5EDBF" w:rsidR="00634149" w:rsidRPr="000C6FCC" w:rsidRDefault="000C6FCC">
            <w:pPr>
              <w:rPr>
                <w:rStyle w:val="Hyperlink"/>
                <w:b/>
                <w:bCs/>
              </w:rPr>
            </w:pPr>
            <w:r w:rsidRPr="000C6FCC">
              <w:rPr>
                <w:b/>
                <w:bCs/>
                <w:color w:val="2F5496" w:themeColor="accent1" w:themeShade="BF"/>
                <w:sz w:val="24"/>
                <w:szCs w:val="24"/>
              </w:rPr>
              <w:fldChar w:fldCharType="begin"/>
            </w:r>
            <w:r w:rsidRPr="000C6FCC">
              <w:rPr>
                <w:b/>
                <w:bCs/>
                <w:color w:val="2F5496" w:themeColor="accent1" w:themeShade="BF"/>
                <w:sz w:val="24"/>
                <w:szCs w:val="24"/>
              </w:rPr>
              <w:instrText xml:space="preserve"> HYPERLINK  \l "NO1" </w:instrText>
            </w:r>
            <w:r w:rsidRPr="000C6FCC">
              <w:rPr>
                <w:b/>
                <w:bCs/>
                <w:color w:val="2F5496" w:themeColor="accent1" w:themeShade="BF"/>
                <w:sz w:val="24"/>
                <w:szCs w:val="24"/>
              </w:rPr>
            </w:r>
            <w:r w:rsidRPr="000C6FCC">
              <w:rPr>
                <w:b/>
                <w:bCs/>
                <w:color w:val="2F5496" w:themeColor="accent1" w:themeShade="BF"/>
                <w:sz w:val="24"/>
                <w:szCs w:val="24"/>
              </w:rPr>
              <w:fldChar w:fldCharType="separate"/>
            </w:r>
          </w:p>
          <w:p w14:paraId="199089D1" w14:textId="17B768B1" w:rsidR="00634149" w:rsidRPr="000C6FCC" w:rsidRDefault="00CA340E" w:rsidP="00D56AE3">
            <w:pPr>
              <w:pStyle w:val="ListParagraph"/>
              <w:numPr>
                <w:ilvl w:val="0"/>
                <w:numId w:val="33"/>
              </w:numPr>
              <w:rPr>
                <w:b/>
                <w:bCs/>
                <w:color w:val="2F5496" w:themeColor="accent1" w:themeShade="BF"/>
                <w:sz w:val="24"/>
                <w:szCs w:val="24"/>
              </w:rPr>
            </w:pPr>
            <w:r w:rsidRPr="000C6FCC">
              <w:rPr>
                <w:rStyle w:val="Hyperlink"/>
                <w:b/>
                <w:bCs/>
                <w:sz w:val="24"/>
                <w:szCs w:val="24"/>
              </w:rPr>
              <w:t>BMA statement: Death of Dr Gail Milligan – Wellbeing services</w:t>
            </w:r>
            <w:r w:rsidR="000C6FCC" w:rsidRPr="000C6FCC">
              <w:rPr>
                <w:b/>
                <w:bCs/>
                <w:color w:val="2F5496" w:themeColor="accent1" w:themeShade="BF"/>
                <w:sz w:val="24"/>
                <w:szCs w:val="24"/>
              </w:rPr>
              <w:fldChar w:fldCharType="end"/>
            </w:r>
          </w:p>
          <w:p w14:paraId="211BF778" w14:textId="4157E392" w:rsidR="00CA340E" w:rsidRPr="000C6FCC" w:rsidRDefault="000C6FCC" w:rsidP="00D56AE3">
            <w:pPr>
              <w:pStyle w:val="ListParagraph"/>
              <w:numPr>
                <w:ilvl w:val="0"/>
                <w:numId w:val="33"/>
              </w:numPr>
              <w:rPr>
                <w:b/>
                <w:bCs/>
                <w:color w:val="2F5496" w:themeColor="accent1" w:themeShade="BF"/>
                <w:sz w:val="24"/>
                <w:szCs w:val="24"/>
              </w:rPr>
            </w:pPr>
            <w:hyperlink w:anchor="NO2" w:history="1">
              <w:r w:rsidR="00DF3FE6" w:rsidRPr="000C6FCC">
                <w:rPr>
                  <w:rStyle w:val="Hyperlink"/>
                  <w:b/>
                  <w:bCs/>
                  <w:sz w:val="24"/>
                  <w:szCs w:val="24"/>
                </w:rPr>
                <w:t xml:space="preserve">Updated Guidance </w:t>
              </w:r>
              <w:r w:rsidR="00F4104D" w:rsidRPr="000C6FCC">
                <w:rPr>
                  <w:rStyle w:val="Hyperlink"/>
                  <w:b/>
                  <w:bCs/>
                  <w:sz w:val="24"/>
                  <w:szCs w:val="24"/>
                </w:rPr>
                <w:t>regarding a typical presentation of monkeypox</w:t>
              </w:r>
            </w:hyperlink>
          </w:p>
          <w:p w14:paraId="218DF254" w14:textId="3799A2D4" w:rsidR="00F4104D" w:rsidRPr="000C6FCC" w:rsidRDefault="000C6FCC" w:rsidP="00D56AE3">
            <w:pPr>
              <w:pStyle w:val="ListParagraph"/>
              <w:numPr>
                <w:ilvl w:val="0"/>
                <w:numId w:val="33"/>
              </w:numPr>
              <w:rPr>
                <w:b/>
                <w:bCs/>
                <w:color w:val="2F5496" w:themeColor="accent1" w:themeShade="BF"/>
                <w:sz w:val="24"/>
                <w:szCs w:val="24"/>
              </w:rPr>
            </w:pPr>
            <w:hyperlink w:anchor="NO3" w:history="1">
              <w:r w:rsidR="00F4104D" w:rsidRPr="000C6FCC">
                <w:rPr>
                  <w:rStyle w:val="Hyperlink"/>
                  <w:b/>
                  <w:bCs/>
                  <w:sz w:val="24"/>
                  <w:szCs w:val="24"/>
                </w:rPr>
                <w:t>GP Day In The Life – Todays Times</w:t>
              </w:r>
            </w:hyperlink>
          </w:p>
          <w:p w14:paraId="42F9ACA9" w14:textId="402B11A9" w:rsidR="00F4104D" w:rsidRPr="000C6FCC" w:rsidRDefault="000C6FCC" w:rsidP="00D56AE3">
            <w:pPr>
              <w:pStyle w:val="ListParagraph"/>
              <w:numPr>
                <w:ilvl w:val="0"/>
                <w:numId w:val="33"/>
              </w:numPr>
              <w:rPr>
                <w:b/>
                <w:bCs/>
                <w:color w:val="2F5496" w:themeColor="accent1" w:themeShade="BF"/>
                <w:sz w:val="24"/>
                <w:szCs w:val="24"/>
              </w:rPr>
            </w:pPr>
            <w:hyperlink w:anchor="NO4" w:history="1">
              <w:r w:rsidR="00570401" w:rsidRPr="000C6FCC">
                <w:rPr>
                  <w:rStyle w:val="Hyperlink"/>
                  <w:b/>
                  <w:bCs/>
                  <w:sz w:val="24"/>
                  <w:szCs w:val="24"/>
                </w:rPr>
                <w:t>Ipsos Mori General Practice Survey</w:t>
              </w:r>
            </w:hyperlink>
          </w:p>
          <w:p w14:paraId="47BBA1E1" w14:textId="4BBBD355" w:rsidR="00D815A2" w:rsidRPr="000C6FCC" w:rsidRDefault="000C6FCC" w:rsidP="00D56AE3">
            <w:pPr>
              <w:pStyle w:val="ListParagraph"/>
              <w:numPr>
                <w:ilvl w:val="0"/>
                <w:numId w:val="33"/>
              </w:numPr>
              <w:rPr>
                <w:b/>
                <w:bCs/>
                <w:color w:val="2F5496" w:themeColor="accent1" w:themeShade="BF"/>
                <w:sz w:val="24"/>
                <w:szCs w:val="24"/>
              </w:rPr>
            </w:pPr>
            <w:hyperlink w:anchor="NO5" w:history="1">
              <w:r w:rsidR="00D815A2" w:rsidRPr="000C6FCC">
                <w:rPr>
                  <w:rStyle w:val="Hyperlink"/>
                  <w:b/>
                  <w:bCs/>
                  <w:sz w:val="24"/>
                  <w:szCs w:val="24"/>
                </w:rPr>
                <w:t>Pay Transparency Update</w:t>
              </w:r>
            </w:hyperlink>
          </w:p>
          <w:p w14:paraId="7D7575FA" w14:textId="27F9A2CE" w:rsidR="00895B61" w:rsidRPr="000C6FCC" w:rsidRDefault="000C6FCC" w:rsidP="00D56AE3">
            <w:pPr>
              <w:pStyle w:val="ListParagraph"/>
              <w:numPr>
                <w:ilvl w:val="0"/>
                <w:numId w:val="33"/>
              </w:numPr>
              <w:rPr>
                <w:b/>
                <w:bCs/>
                <w:color w:val="2F5496" w:themeColor="accent1" w:themeShade="BF"/>
                <w:sz w:val="24"/>
                <w:szCs w:val="24"/>
              </w:rPr>
            </w:pPr>
            <w:hyperlink w:anchor="NO6" w:history="1">
              <w:r w:rsidR="00895B61" w:rsidRPr="000C6FCC">
                <w:rPr>
                  <w:rStyle w:val="Hyperlink"/>
                  <w:b/>
                  <w:bCs/>
                  <w:sz w:val="24"/>
                  <w:szCs w:val="24"/>
                </w:rPr>
                <w:t xml:space="preserve">Changes to COVID- 19 Vaccination ES </w:t>
              </w:r>
              <w:r w:rsidR="00286751" w:rsidRPr="000C6FCC">
                <w:rPr>
                  <w:rStyle w:val="Hyperlink"/>
                  <w:b/>
                  <w:bCs/>
                  <w:sz w:val="24"/>
                  <w:szCs w:val="24"/>
                </w:rPr>
                <w:t>(Phase</w:t>
              </w:r>
              <w:r w:rsidR="00D91F14" w:rsidRPr="000C6FCC">
                <w:rPr>
                  <w:rStyle w:val="Hyperlink"/>
                  <w:b/>
                  <w:bCs/>
                  <w:sz w:val="24"/>
                  <w:szCs w:val="24"/>
                </w:rPr>
                <w:t xml:space="preserve"> </w:t>
              </w:r>
              <w:r w:rsidR="00391740" w:rsidRPr="000C6FCC">
                <w:rPr>
                  <w:rStyle w:val="Hyperlink"/>
                  <w:b/>
                  <w:bCs/>
                  <w:sz w:val="24"/>
                  <w:szCs w:val="24"/>
                </w:rPr>
                <w:t>5)</w:t>
              </w:r>
            </w:hyperlink>
            <w:r w:rsidR="00D91F14" w:rsidRPr="000C6FCC">
              <w:rPr>
                <w:b/>
                <w:bCs/>
                <w:color w:val="2F5496" w:themeColor="accent1" w:themeShade="BF"/>
                <w:sz w:val="24"/>
                <w:szCs w:val="24"/>
              </w:rPr>
              <w:t xml:space="preserve"> </w:t>
            </w:r>
          </w:p>
          <w:p w14:paraId="5CD31333" w14:textId="58C6C080" w:rsidR="00D91F14" w:rsidRPr="000C6FCC" w:rsidRDefault="000C6FCC" w:rsidP="00D56AE3">
            <w:pPr>
              <w:pStyle w:val="ListParagraph"/>
              <w:numPr>
                <w:ilvl w:val="0"/>
                <w:numId w:val="33"/>
              </w:numPr>
              <w:rPr>
                <w:b/>
                <w:bCs/>
                <w:color w:val="2F5496" w:themeColor="accent1" w:themeShade="BF"/>
                <w:sz w:val="24"/>
                <w:szCs w:val="24"/>
              </w:rPr>
            </w:pPr>
            <w:hyperlink w:anchor="NO7" w:history="1">
              <w:r w:rsidR="00286751" w:rsidRPr="000C6FCC">
                <w:rPr>
                  <w:rStyle w:val="Hyperlink"/>
                  <w:b/>
                  <w:bCs/>
                  <w:sz w:val="24"/>
                  <w:szCs w:val="24"/>
                </w:rPr>
                <w:t>Patient List</w:t>
              </w:r>
            </w:hyperlink>
          </w:p>
          <w:p w14:paraId="0CCEAC09" w14:textId="1B005CA2" w:rsidR="00391740" w:rsidRPr="000C6FCC" w:rsidRDefault="000C6FCC" w:rsidP="00D56AE3">
            <w:pPr>
              <w:pStyle w:val="ListParagraph"/>
              <w:numPr>
                <w:ilvl w:val="0"/>
                <w:numId w:val="33"/>
              </w:numPr>
              <w:rPr>
                <w:b/>
                <w:bCs/>
                <w:color w:val="2F5496" w:themeColor="accent1" w:themeShade="BF"/>
                <w:sz w:val="24"/>
                <w:szCs w:val="24"/>
              </w:rPr>
            </w:pPr>
            <w:hyperlink w:anchor="NO8" w:history="1">
              <w:r w:rsidR="00391740" w:rsidRPr="000C6FCC">
                <w:rPr>
                  <w:rStyle w:val="Hyperlink"/>
                  <w:b/>
                  <w:bCs/>
                  <w:sz w:val="24"/>
                  <w:szCs w:val="24"/>
                </w:rPr>
                <w:t>New: GP2GP – ensuring patient records are integrated within 8 days</w:t>
              </w:r>
            </w:hyperlink>
          </w:p>
          <w:p w14:paraId="445BF2D1" w14:textId="7E30EE3D" w:rsidR="00391740" w:rsidRPr="000C6FCC" w:rsidRDefault="000C6FCC" w:rsidP="00D56AE3">
            <w:pPr>
              <w:pStyle w:val="ListParagraph"/>
              <w:numPr>
                <w:ilvl w:val="0"/>
                <w:numId w:val="33"/>
              </w:numPr>
              <w:rPr>
                <w:b/>
                <w:bCs/>
                <w:color w:val="2F5496" w:themeColor="accent1" w:themeShade="BF"/>
                <w:sz w:val="24"/>
                <w:szCs w:val="24"/>
              </w:rPr>
            </w:pPr>
            <w:hyperlink w:anchor="NO9" w:history="1">
              <w:r w:rsidR="00391740" w:rsidRPr="000C6FCC">
                <w:rPr>
                  <w:rStyle w:val="Hyperlink"/>
                  <w:b/>
                  <w:bCs/>
                  <w:sz w:val="24"/>
                  <w:szCs w:val="24"/>
                </w:rPr>
                <w:t>New: New ADHD referral form</w:t>
              </w:r>
            </w:hyperlink>
            <w:r w:rsidR="00391740" w:rsidRPr="000C6FCC">
              <w:rPr>
                <w:b/>
                <w:bCs/>
                <w:color w:val="2F5496" w:themeColor="accent1" w:themeShade="BF"/>
                <w:sz w:val="24"/>
                <w:szCs w:val="24"/>
              </w:rPr>
              <w:t xml:space="preserve"> </w:t>
            </w:r>
          </w:p>
          <w:p w14:paraId="37534743" w14:textId="43723A17" w:rsidR="00634149" w:rsidRDefault="000C6FCC" w:rsidP="007A6C85">
            <w:pPr>
              <w:pStyle w:val="ListParagraph"/>
              <w:numPr>
                <w:ilvl w:val="0"/>
                <w:numId w:val="33"/>
              </w:numPr>
              <w:rPr>
                <w:b/>
                <w:bCs/>
                <w:color w:val="2F5496" w:themeColor="accent1" w:themeShade="BF"/>
                <w:sz w:val="24"/>
                <w:szCs w:val="24"/>
              </w:rPr>
            </w:pPr>
            <w:hyperlink w:anchor="NU10" w:history="1">
              <w:r w:rsidR="00391740" w:rsidRPr="000C6FCC">
                <w:rPr>
                  <w:rStyle w:val="Hyperlink"/>
                  <w:b/>
                  <w:bCs/>
                  <w:sz w:val="24"/>
                  <w:szCs w:val="24"/>
                </w:rPr>
                <w:t>Reminder: 1</w:t>
              </w:r>
              <w:r w:rsidR="00FB43FD" w:rsidRPr="000C6FCC">
                <w:rPr>
                  <w:rStyle w:val="Hyperlink"/>
                  <w:b/>
                  <w:bCs/>
                  <w:sz w:val="24"/>
                  <w:szCs w:val="24"/>
                </w:rPr>
                <w:t xml:space="preserve"> August changes to access request for a decreased person patient record</w:t>
              </w:r>
            </w:hyperlink>
          </w:p>
          <w:p w14:paraId="54E44E61" w14:textId="6E89E109" w:rsidR="00361AAE" w:rsidRPr="007A6C85" w:rsidRDefault="00361AAE" w:rsidP="007A6C85">
            <w:pPr>
              <w:pStyle w:val="ListParagraph"/>
              <w:numPr>
                <w:ilvl w:val="0"/>
                <w:numId w:val="33"/>
              </w:numPr>
              <w:rPr>
                <w:b/>
                <w:bCs/>
                <w:color w:val="2F5496" w:themeColor="accent1" w:themeShade="BF"/>
                <w:sz w:val="24"/>
                <w:szCs w:val="24"/>
              </w:rPr>
            </w:pPr>
            <w:hyperlink w:anchor="NU11" w:history="1">
              <w:r w:rsidRPr="00361AAE">
                <w:rPr>
                  <w:rStyle w:val="Hyperlink"/>
                  <w:b/>
                  <w:bCs/>
                  <w:sz w:val="24"/>
                  <w:szCs w:val="24"/>
                </w:rPr>
                <w:t>GP Wellbeing</w:t>
              </w:r>
            </w:hyperlink>
          </w:p>
          <w:tbl>
            <w:tblPr>
              <w:tblpPr w:vertAnchor="text"/>
              <w:tblW w:w="5000" w:type="pct"/>
              <w:tblCellMar>
                <w:left w:w="0" w:type="dxa"/>
                <w:right w:w="0" w:type="dxa"/>
              </w:tblCellMar>
              <w:tblLook w:val="04A0" w:firstRow="1" w:lastRow="0" w:firstColumn="1" w:lastColumn="0" w:noHBand="0" w:noVBand="1"/>
            </w:tblPr>
            <w:tblGrid>
              <w:gridCol w:w="17491"/>
            </w:tblGrid>
            <w:tr w:rsidR="00634149" w:rsidRPr="00ED2B2C" w14:paraId="0A582195" w14:textId="77777777" w:rsidTr="00634149">
              <w:tc>
                <w:tcPr>
                  <w:tcW w:w="17019" w:type="dxa"/>
                  <w:hideMark/>
                </w:tcPr>
                <w:p w14:paraId="7E3675F5" w14:textId="77777777" w:rsidR="00634149" w:rsidRPr="00ED2B2C" w:rsidRDefault="00634149" w:rsidP="00634149"/>
              </w:tc>
            </w:tr>
          </w:tbl>
          <w:p w14:paraId="42FCA45D" w14:textId="77777777" w:rsidR="00634149" w:rsidRDefault="00634149" w:rsidP="00634149">
            <w:pPr>
              <w:spacing w:after="0"/>
              <w:rPr>
                <w:b/>
                <w:bCs/>
              </w:rPr>
            </w:pPr>
          </w:p>
        </w:tc>
        <w:tc>
          <w:tcPr>
            <w:tcW w:w="0" w:type="auto"/>
            <w:tcMar>
              <w:top w:w="0" w:type="dxa"/>
              <w:left w:w="270" w:type="dxa"/>
              <w:bottom w:w="135" w:type="dxa"/>
              <w:right w:w="270" w:type="dxa"/>
            </w:tcMar>
            <w:hideMark/>
          </w:tcPr>
          <w:p w14:paraId="1370E6D9" w14:textId="1012F98F" w:rsidR="00634149" w:rsidRDefault="00634149" w:rsidP="00634149">
            <w:pPr>
              <w:spacing w:after="0"/>
              <w:rPr>
                <w:b/>
                <w:bCs/>
              </w:rPr>
            </w:pPr>
          </w:p>
          <w:p w14:paraId="6D54D272" w14:textId="77777777" w:rsidR="00634149" w:rsidRDefault="00634149" w:rsidP="00634149">
            <w:pPr>
              <w:spacing w:after="0"/>
              <w:rPr>
                <w:b/>
                <w:bCs/>
              </w:rPr>
            </w:pPr>
          </w:p>
          <w:p w14:paraId="6A1A416B" w14:textId="77777777" w:rsidR="00634149" w:rsidRDefault="00634149" w:rsidP="00634149">
            <w:pPr>
              <w:spacing w:after="0"/>
              <w:rPr>
                <w:b/>
                <w:bCs/>
              </w:rPr>
            </w:pPr>
          </w:p>
          <w:p w14:paraId="0C4C9631" w14:textId="77777777" w:rsidR="00634149" w:rsidRDefault="00634149" w:rsidP="00634149">
            <w:pPr>
              <w:spacing w:after="0"/>
              <w:rPr>
                <w:b/>
                <w:bCs/>
              </w:rPr>
            </w:pPr>
          </w:p>
          <w:p w14:paraId="712A93FD" w14:textId="77777777" w:rsidR="00634149" w:rsidRDefault="00634149" w:rsidP="00634149">
            <w:pPr>
              <w:spacing w:after="0"/>
              <w:rPr>
                <w:b/>
                <w:bCs/>
              </w:rPr>
            </w:pPr>
          </w:p>
          <w:p w14:paraId="097C47FA" w14:textId="77777777" w:rsidR="00634149" w:rsidRDefault="00634149" w:rsidP="00634149">
            <w:pPr>
              <w:spacing w:after="0"/>
              <w:rPr>
                <w:b/>
                <w:bCs/>
              </w:rPr>
            </w:pPr>
          </w:p>
          <w:p w14:paraId="7FE1E70E" w14:textId="77777777" w:rsidR="00634149" w:rsidRDefault="00634149" w:rsidP="00634149">
            <w:pPr>
              <w:spacing w:after="0"/>
              <w:rPr>
                <w:b/>
                <w:bCs/>
              </w:rPr>
            </w:pPr>
          </w:p>
          <w:p w14:paraId="186A0EDB" w14:textId="77777777" w:rsidR="00634149" w:rsidRDefault="00634149" w:rsidP="00634149">
            <w:pPr>
              <w:spacing w:after="0"/>
              <w:rPr>
                <w:b/>
                <w:bCs/>
              </w:rPr>
            </w:pPr>
          </w:p>
          <w:p w14:paraId="37C8AA52" w14:textId="77777777" w:rsidR="00634149" w:rsidRDefault="00634149" w:rsidP="00634149">
            <w:pPr>
              <w:spacing w:after="0"/>
              <w:rPr>
                <w:b/>
                <w:bCs/>
              </w:rPr>
            </w:pPr>
          </w:p>
          <w:p w14:paraId="283ADF90" w14:textId="77777777" w:rsidR="00634149" w:rsidRDefault="00634149" w:rsidP="00634149">
            <w:pPr>
              <w:spacing w:after="0"/>
              <w:rPr>
                <w:b/>
                <w:bCs/>
              </w:rPr>
            </w:pPr>
          </w:p>
          <w:p w14:paraId="446A2C0D" w14:textId="77777777" w:rsidR="00634149" w:rsidRDefault="00634149" w:rsidP="00634149">
            <w:pPr>
              <w:spacing w:after="0"/>
              <w:jc w:val="both"/>
              <w:rPr>
                <w:b/>
                <w:bCs/>
              </w:rPr>
            </w:pPr>
          </w:p>
          <w:p w14:paraId="0FE80AE2" w14:textId="77777777" w:rsidR="00634149" w:rsidRDefault="00634149" w:rsidP="00634149">
            <w:pPr>
              <w:spacing w:after="0"/>
              <w:jc w:val="both"/>
              <w:rPr>
                <w:b/>
                <w:bCs/>
              </w:rPr>
            </w:pPr>
          </w:p>
          <w:p w14:paraId="29812B48" w14:textId="77777777" w:rsidR="00634149" w:rsidRDefault="00634149" w:rsidP="00634149">
            <w:pPr>
              <w:spacing w:after="0"/>
              <w:jc w:val="both"/>
              <w:rPr>
                <w:b/>
                <w:bCs/>
              </w:rPr>
            </w:pPr>
          </w:p>
          <w:p w14:paraId="79DDA812" w14:textId="77777777" w:rsidR="00634149" w:rsidRDefault="00634149" w:rsidP="00634149">
            <w:pPr>
              <w:spacing w:after="0"/>
              <w:jc w:val="both"/>
              <w:rPr>
                <w:b/>
                <w:bCs/>
              </w:rPr>
            </w:pPr>
          </w:p>
          <w:p w14:paraId="6CA54772" w14:textId="77777777" w:rsidR="00634149" w:rsidRDefault="00634149" w:rsidP="00634149">
            <w:pPr>
              <w:spacing w:after="0"/>
              <w:jc w:val="both"/>
              <w:rPr>
                <w:b/>
                <w:bCs/>
              </w:rPr>
            </w:pPr>
          </w:p>
          <w:p w14:paraId="362F584A" w14:textId="77777777" w:rsidR="00634149" w:rsidRDefault="00634149" w:rsidP="00634149">
            <w:pPr>
              <w:spacing w:after="0"/>
              <w:jc w:val="both"/>
              <w:rPr>
                <w:b/>
                <w:bCs/>
              </w:rPr>
            </w:pPr>
          </w:p>
          <w:p w14:paraId="759F4DA2" w14:textId="1BB2D202" w:rsidR="00634149" w:rsidRPr="00ED2B2C" w:rsidRDefault="00634149" w:rsidP="00634149">
            <w:pPr>
              <w:spacing w:after="0"/>
              <w:jc w:val="both"/>
              <w:rPr>
                <w:b/>
                <w:bCs/>
              </w:rPr>
            </w:pPr>
            <w:r>
              <w:rPr>
                <w:b/>
                <w:bCs/>
              </w:rPr>
              <w:t xml:space="preserve">                                 </w:t>
            </w:r>
          </w:p>
        </w:tc>
      </w:tr>
      <w:tr w:rsidR="00634149" w:rsidRPr="00ED2B2C" w14:paraId="0155B392" w14:textId="77777777" w:rsidTr="00634149">
        <w:tc>
          <w:tcPr>
            <w:tcW w:w="0" w:type="auto"/>
          </w:tcPr>
          <w:p w14:paraId="4FBE894A" w14:textId="77777777" w:rsidR="00634149" w:rsidRDefault="00634149" w:rsidP="00634149">
            <w:pPr>
              <w:spacing w:after="0"/>
              <w:rPr>
                <w:b/>
                <w:bCs/>
              </w:rPr>
            </w:pPr>
          </w:p>
        </w:tc>
        <w:tc>
          <w:tcPr>
            <w:tcW w:w="0" w:type="auto"/>
            <w:tcMar>
              <w:top w:w="0" w:type="dxa"/>
              <w:left w:w="270" w:type="dxa"/>
              <w:bottom w:w="135" w:type="dxa"/>
              <w:right w:w="270" w:type="dxa"/>
            </w:tcMar>
          </w:tcPr>
          <w:p w14:paraId="5BA5C3CF" w14:textId="77777777" w:rsidR="00634149" w:rsidRDefault="00634149" w:rsidP="00634149">
            <w:pPr>
              <w:spacing w:after="0"/>
              <w:rPr>
                <w:b/>
                <w:bCs/>
              </w:rPr>
            </w:pPr>
          </w:p>
        </w:tc>
      </w:tr>
    </w:tbl>
    <w:p w14:paraId="66B665E9" w14:textId="77777777" w:rsidR="00877B7C" w:rsidRDefault="00877B7C" w:rsidP="003515F9">
      <w:pPr>
        <w:spacing w:before="240"/>
        <w:rPr>
          <w:b/>
          <w:i/>
          <w:color w:val="4472C4" w:themeColor="accent1"/>
          <w:sz w:val="44"/>
          <w:szCs w:val="44"/>
        </w:rPr>
      </w:pPr>
    </w:p>
    <w:p w14:paraId="6C980BB4" w14:textId="77777777" w:rsidR="007A6C85" w:rsidRDefault="007A6C85" w:rsidP="003515F9">
      <w:pPr>
        <w:spacing w:before="240"/>
        <w:rPr>
          <w:b/>
          <w:i/>
          <w:color w:val="4472C4" w:themeColor="accent1"/>
          <w:sz w:val="44"/>
          <w:szCs w:val="44"/>
        </w:rPr>
      </w:pPr>
    </w:p>
    <w:p w14:paraId="1E10A88F" w14:textId="77777777" w:rsidR="007A6C85" w:rsidRDefault="007A6C85" w:rsidP="003515F9">
      <w:pPr>
        <w:spacing w:before="240"/>
        <w:rPr>
          <w:b/>
          <w:i/>
          <w:color w:val="4472C4" w:themeColor="accent1"/>
          <w:sz w:val="44"/>
          <w:szCs w:val="44"/>
        </w:rPr>
      </w:pPr>
    </w:p>
    <w:p w14:paraId="3275B722" w14:textId="3082B21A" w:rsidR="00CA340E" w:rsidRDefault="00877B7C" w:rsidP="00877B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Style w:val="Strong"/>
          <w:rFonts w:cstheme="minorHAnsi"/>
          <w:color w:val="222222"/>
        </w:rPr>
      </w:pPr>
      <w:bookmarkStart w:id="1" w:name="NO2"/>
      <w:r>
        <w:rPr>
          <w:rStyle w:val="Strong"/>
          <w:rFonts w:cstheme="minorHAnsi"/>
          <w:color w:val="222222"/>
        </w:rPr>
        <w:t>2.</w:t>
      </w:r>
      <w:r w:rsidR="004E3346" w:rsidRPr="004E3346">
        <w:rPr>
          <w:rStyle w:val="Strong"/>
          <w:rFonts w:cstheme="minorHAnsi"/>
          <w:color w:val="222222"/>
        </w:rPr>
        <w:t>Updated Guidance regarding a</w:t>
      </w:r>
      <w:r w:rsidR="001053B6">
        <w:rPr>
          <w:rStyle w:val="Strong"/>
          <w:rFonts w:cstheme="minorHAnsi"/>
          <w:color w:val="222222"/>
        </w:rPr>
        <w:t xml:space="preserve"> </w:t>
      </w:r>
      <w:r w:rsidR="004E3346" w:rsidRPr="004E3346">
        <w:rPr>
          <w:rStyle w:val="Strong"/>
          <w:rFonts w:cstheme="minorHAnsi"/>
          <w:color w:val="222222"/>
        </w:rPr>
        <w:t>typical presentation of monkeypox</w:t>
      </w:r>
    </w:p>
    <w:bookmarkEnd w:id="1"/>
    <w:p w14:paraId="19AF6787" w14:textId="77777777" w:rsidR="00CA340E" w:rsidRDefault="004E3346" w:rsidP="00812E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cstheme="minorHAnsi"/>
          <w:color w:val="222222"/>
        </w:rPr>
      </w:pPr>
      <w:r w:rsidRPr="004E3346">
        <w:rPr>
          <w:rFonts w:cstheme="minorHAnsi"/>
          <w:color w:val="222222"/>
        </w:rPr>
        <w:br/>
        <w:t>Across the region, we have seen several patients who have been diagnosed with monkeypox following atypical presentation. These patients have presented with what was initially diagnosed as tonsilitis. In both cases where the patients were inpatients, it was noted that there were several pus-filled lesions present on the tonsils. Whilst we know that there are several possible reasons why patients may present with symptoms of tonsilitis, we are asking all practitioners to consider monkeypox as a differential diagnosis and take an appropriate history for these patients. </w:t>
      </w:r>
      <w:r w:rsidRPr="004E3346">
        <w:rPr>
          <w:rFonts w:cstheme="minorHAnsi"/>
          <w:color w:val="222222"/>
        </w:rPr>
        <w:br/>
        <w:t> </w:t>
      </w:r>
      <w:r w:rsidRPr="004E3346">
        <w:rPr>
          <w:rFonts w:cstheme="minorHAnsi"/>
          <w:color w:val="222222"/>
        </w:rPr>
        <w:br/>
        <w:t>In addition, when we are discussing sexual contacts with patients and taking sexual history, please can we ensure we are considering that patients may not have directly had contact with another person during sexual contact but may have shared sex toys (or alternatives) which could also be a source of transmission.</w:t>
      </w:r>
      <w:r w:rsidRPr="004E3346">
        <w:rPr>
          <w:rFonts w:cstheme="minorHAnsi"/>
          <w:color w:val="222222"/>
        </w:rPr>
        <w:br/>
      </w:r>
      <w:r w:rsidRPr="004E3346">
        <w:rPr>
          <w:rFonts w:cstheme="minorHAnsi"/>
          <w:color w:val="222222"/>
        </w:rPr>
        <w:br/>
        <w:t>The case definition has also recently been updated, covering:</w:t>
      </w:r>
    </w:p>
    <w:p w14:paraId="76300DB1" w14:textId="4F054EDE" w:rsidR="004E3346" w:rsidRPr="00CA340E"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cstheme="minorHAnsi"/>
          <w:color w:val="222222"/>
        </w:rPr>
      </w:pPr>
      <w:r w:rsidRPr="004E3346">
        <w:rPr>
          <w:rFonts w:eastAsia="Times New Roman" w:cstheme="minorHAnsi"/>
          <w:color w:val="222222"/>
        </w:rPr>
        <w:t>Possible cases</w:t>
      </w:r>
    </w:p>
    <w:p w14:paraId="7B3161E9" w14:textId="77777777" w:rsidR="00CA340E"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eastAsia="Times New Roman" w:cstheme="minorHAnsi"/>
          <w:color w:val="222222"/>
        </w:rPr>
      </w:pPr>
      <w:r w:rsidRPr="004E3346">
        <w:rPr>
          <w:rFonts w:eastAsia="Times New Roman" w:cstheme="minorHAnsi"/>
          <w:color w:val="222222"/>
        </w:rPr>
        <w:t>Probable cases</w:t>
      </w:r>
    </w:p>
    <w:p w14:paraId="4B579034" w14:textId="3BDF28EA" w:rsidR="004E3346" w:rsidRP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eastAsia="Times New Roman" w:cstheme="minorHAnsi"/>
          <w:color w:val="222222"/>
        </w:rPr>
      </w:pPr>
      <w:r w:rsidRPr="004E3346">
        <w:rPr>
          <w:rFonts w:eastAsia="Times New Roman" w:cstheme="minorHAnsi"/>
          <w:color w:val="222222"/>
        </w:rPr>
        <w:t>Actions on possible or probable cases</w:t>
      </w:r>
    </w:p>
    <w:p w14:paraId="7943F8D9" w14:textId="77777777" w:rsidR="004E3346" w:rsidRP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eastAsia="Times New Roman" w:cstheme="minorHAnsi"/>
          <w:color w:val="222222"/>
        </w:rPr>
      </w:pPr>
      <w:r w:rsidRPr="004E3346">
        <w:rPr>
          <w:rFonts w:eastAsia="Times New Roman" w:cstheme="minorHAnsi"/>
          <w:color w:val="222222"/>
        </w:rPr>
        <w:t>Highly probable cases</w:t>
      </w:r>
    </w:p>
    <w:p w14:paraId="3FAE947E" w14:textId="77777777" w:rsidR="004E3346" w:rsidRP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eastAsia="Times New Roman" w:cstheme="minorHAnsi"/>
          <w:color w:val="222222"/>
        </w:rPr>
      </w:pPr>
      <w:r w:rsidRPr="004E3346">
        <w:rPr>
          <w:rFonts w:eastAsia="Times New Roman" w:cstheme="minorHAnsi"/>
          <w:color w:val="222222"/>
        </w:rPr>
        <w:t>Confirmed cases</w:t>
      </w:r>
    </w:p>
    <w:p w14:paraId="278382C3" w14:textId="77777777" w:rsidR="004E3346" w:rsidRP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jc w:val="both"/>
        <w:rPr>
          <w:rFonts w:eastAsia="Times New Roman" w:cstheme="minorHAnsi"/>
          <w:color w:val="222222"/>
        </w:rPr>
      </w:pPr>
      <w:r w:rsidRPr="004E3346">
        <w:rPr>
          <w:rFonts w:eastAsia="Times New Roman" w:cstheme="minorHAnsi"/>
          <w:color w:val="222222"/>
        </w:rPr>
        <w:t>Action on confirmed or highly probable cases</w:t>
      </w:r>
    </w:p>
    <w:p w14:paraId="7B3C3646" w14:textId="77777777" w:rsidR="004E3346" w:rsidRP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jc w:val="both"/>
        <w:rPr>
          <w:rFonts w:cstheme="minorHAnsi"/>
          <w:color w:val="222222"/>
        </w:rPr>
      </w:pPr>
      <w:r w:rsidRPr="004E3346">
        <w:rPr>
          <w:rFonts w:cstheme="minorHAnsi"/>
          <w:color w:val="222222"/>
        </w:rPr>
        <w:t>You can read the full definitions </w:t>
      </w:r>
      <w:hyperlink r:id="rId12" w:tgtFrame="_blank" w:history="1">
        <w:r w:rsidRPr="004E3346">
          <w:rPr>
            <w:rStyle w:val="Hyperlink"/>
            <w:rFonts w:cstheme="minorHAnsi"/>
            <w:color w:val="005EB8"/>
          </w:rPr>
          <w:t>here</w:t>
        </w:r>
      </w:hyperlink>
      <w:r w:rsidRPr="004E3346">
        <w:rPr>
          <w:rFonts w:cstheme="minorHAnsi"/>
          <w:color w:val="222222"/>
        </w:rPr>
        <w:t>. </w:t>
      </w:r>
    </w:p>
    <w:p w14:paraId="4FFB078D" w14:textId="77777777" w:rsidR="004E3346" w:rsidRDefault="004E3346" w:rsidP="00CA34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cs="Calibri"/>
        </w:rPr>
      </w:pPr>
      <w:r w:rsidRPr="004E3346">
        <w:rPr>
          <w:rFonts w:cstheme="minorHAnsi"/>
          <w:color w:val="222222"/>
        </w:rPr>
        <w:t>If you see a possible/probable case, please call Infectious Disease Consultant at Heartlands Hospital for advice on management: 0121 424 2000.</w:t>
      </w:r>
      <w:r w:rsidRPr="004E3346">
        <w:rPr>
          <w:rFonts w:cstheme="minorHAnsi"/>
          <w:color w:val="222222"/>
        </w:rPr>
        <w:br/>
      </w:r>
      <w:r w:rsidRPr="004E3346">
        <w:rPr>
          <w:rFonts w:cstheme="minorHAnsi"/>
          <w:color w:val="222222"/>
        </w:rPr>
        <w:br/>
      </w:r>
      <w:r w:rsidRPr="004E3346">
        <w:rPr>
          <w:rStyle w:val="Strong"/>
          <w:rFonts w:cstheme="minorHAnsi"/>
          <w:color w:val="222222"/>
        </w:rPr>
        <w:t>Most will be well enough to manage away from hospital. If they are unwell such that you need to call an ambulance, please ensure ambulance staff are aware that probable monkeypox and they will liaise with the hospital before bringing to the Emergency Department. Please do not send directly to Emergency Department.</w:t>
      </w:r>
      <w:r w:rsidRPr="004E3346">
        <w:rPr>
          <w:rFonts w:cstheme="minorHAnsi"/>
          <w:color w:val="222222"/>
        </w:rPr>
        <w:br/>
        <w:t> </w:t>
      </w:r>
      <w:r w:rsidRPr="004E3346">
        <w:rPr>
          <w:rFonts w:cstheme="minorHAnsi"/>
          <w:color w:val="222222"/>
        </w:rPr>
        <w:br/>
      </w:r>
      <w:proofErr w:type="spellStart"/>
      <w:r w:rsidRPr="004E3346">
        <w:rPr>
          <w:rFonts w:cstheme="minorHAnsi"/>
          <w:color w:val="222222"/>
        </w:rPr>
        <w:t>Whittall</w:t>
      </w:r>
      <w:proofErr w:type="spellEnd"/>
      <w:r w:rsidRPr="004E3346">
        <w:rPr>
          <w:rFonts w:cstheme="minorHAnsi"/>
          <w:color w:val="222222"/>
        </w:rPr>
        <w:t xml:space="preserve"> Street GUM Clinic (</w:t>
      </w:r>
      <w:proofErr w:type="spellStart"/>
      <w:r w:rsidRPr="004E3346">
        <w:rPr>
          <w:rFonts w:cstheme="minorHAnsi"/>
          <w:color w:val="222222"/>
        </w:rPr>
        <w:t>Whittall</w:t>
      </w:r>
      <w:proofErr w:type="spellEnd"/>
      <w:r w:rsidRPr="004E3346">
        <w:rPr>
          <w:rFonts w:cstheme="minorHAnsi"/>
          <w:color w:val="222222"/>
        </w:rPr>
        <w:t xml:space="preserve"> St, Birmingham, B4 6DH) will be open Saturday 9am - 4pm.  </w:t>
      </w:r>
      <w:r w:rsidRPr="004E3346">
        <w:rPr>
          <w:rFonts w:cstheme="minorHAnsi"/>
          <w:color w:val="222222"/>
        </w:rPr>
        <w:br/>
        <w:t> </w:t>
      </w:r>
      <w:r w:rsidRPr="004E3346">
        <w:rPr>
          <w:rFonts w:cstheme="minorHAnsi"/>
          <w:color w:val="222222"/>
        </w:rPr>
        <w:br/>
        <w:t xml:space="preserve">Advice from UKHSA if required is available via 01384679031 or via the </w:t>
      </w:r>
      <w:hyperlink r:id="rId13" w:tgtFrame="_blank" w:history="1">
        <w:r w:rsidRPr="004E3346">
          <w:rPr>
            <w:rStyle w:val="Hyperlink"/>
            <w:rFonts w:cstheme="minorHAnsi"/>
            <w:color w:val="005EB8"/>
          </w:rPr>
          <w:t>Imported Fever Service</w:t>
        </w:r>
      </w:hyperlink>
      <w:r>
        <w:rPr>
          <w:rFonts w:ascii="Helvetica" w:hAnsi="Helvetica" w:cs="Helvetica"/>
          <w:color w:val="222222"/>
          <w:sz w:val="21"/>
          <w:szCs w:val="21"/>
        </w:rPr>
        <w:t>.</w:t>
      </w:r>
    </w:p>
    <w:p w14:paraId="2A2D4458" w14:textId="6C5D8A41" w:rsidR="00190356" w:rsidRDefault="004E3346" w:rsidP="004E3346">
      <w:pPr>
        <w:spacing w:before="240"/>
        <w:rPr>
          <w:b/>
          <w:i/>
          <w:color w:val="4472C4" w:themeColor="accent1"/>
          <w:sz w:val="44"/>
          <w:szCs w:val="44"/>
        </w:rPr>
      </w:pPr>
      <w:r>
        <w:rPr>
          <w:rFonts w:eastAsia="Times New Roman"/>
        </w:rPr>
        <w:br/>
      </w:r>
    </w:p>
    <w:p w14:paraId="1B5547F8" w14:textId="781E6D69" w:rsidR="005740FB" w:rsidRDefault="003E5F5E" w:rsidP="003E5F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2" w:name="NO3"/>
      <w:r>
        <w:rPr>
          <w:b/>
          <w:bCs/>
        </w:rPr>
        <w:lastRenderedPageBreak/>
        <w:t>3.</w:t>
      </w:r>
      <w:r w:rsidR="005740FB">
        <w:rPr>
          <w:b/>
          <w:bCs/>
        </w:rPr>
        <w:t>GP Day In The Life - Today’s Times</w:t>
      </w:r>
    </w:p>
    <w:bookmarkEnd w:id="2"/>
    <w:p w14:paraId="31B6B023" w14:textId="77777777" w:rsidR="005740FB" w:rsidRDefault="00000000" w:rsidP="003E5F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pPr>
      <w:r>
        <w:fldChar w:fldCharType="begin"/>
      </w:r>
      <w:r>
        <w:instrText xml:space="preserve"> HYPERLINK "https://www.thetimes.co.uk/article/things-wont-collapse-in-a-bang-itll-be-in-a-million-whimpers-mvk02ctmf?shareToken=82258eec8dbc82c69a0f44c3d60915a8&amp;fbclid=IwAR0WzdAs2enGnypT3O8FYpQneEKnkaaXNyaOVpdvHYPTsXlk05JzcAanPls&amp;fs=e&amp;s=cl" </w:instrText>
      </w:r>
      <w:r>
        <w:fldChar w:fldCharType="separate"/>
      </w:r>
      <w:r w:rsidR="005740FB">
        <w:rPr>
          <w:rStyle w:val="Hyperlink"/>
        </w:rPr>
        <w:t>https://www.thetimes.co.uk/article/things-wont-collapse-in-a-bang-itll-be-in-a-million-whimpers-mvk02ctmf?shareToken=82258eec8dbc82c69a0f44c3d60915a8&amp;fbclid=IwAR0WzdAs2enGnypT3O8FYpQneEKnkaaXNyaOVpdvHYPTsXlk05JzcAanPls&amp;fs=e&amp;s=cl</w:t>
      </w:r>
      <w:r>
        <w:rPr>
          <w:rStyle w:val="Hyperlink"/>
        </w:rPr>
        <w:fldChar w:fldCharType="end"/>
      </w:r>
    </w:p>
    <w:p w14:paraId="51329BAA" w14:textId="77777777" w:rsidR="00190356" w:rsidRDefault="00190356" w:rsidP="003515F9">
      <w:pPr>
        <w:spacing w:before="240"/>
        <w:rPr>
          <w:b/>
          <w:i/>
          <w:color w:val="4472C4" w:themeColor="accent1"/>
          <w:sz w:val="44"/>
          <w:szCs w:val="44"/>
        </w:rPr>
      </w:pPr>
    </w:p>
    <w:p w14:paraId="3C05D622" w14:textId="15AC2F17" w:rsidR="00A20DA9" w:rsidRPr="00A20DA9" w:rsidRDefault="00A20DA9" w:rsidP="00A20DA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3" w:name="NO4"/>
      <w:r>
        <w:rPr>
          <w:b/>
          <w:bCs/>
        </w:rPr>
        <w:t>4</w:t>
      </w:r>
      <w:r w:rsidRPr="00A20DA9">
        <w:rPr>
          <w:b/>
          <w:bCs/>
        </w:rPr>
        <w:t>.Ipsos Mori General Practice Survey</w:t>
      </w:r>
    </w:p>
    <w:bookmarkEnd w:id="3"/>
    <w:p w14:paraId="76088857" w14:textId="77777777" w:rsidR="00A20DA9" w:rsidRDefault="00A20DA9" w:rsidP="00A20DA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AFF5D1C" w14:textId="2F466E65" w:rsidR="00BA67D5" w:rsidRDefault="00BA67D5" w:rsidP="00A20DA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pPr>
      <w:r>
        <w:t>You may or may not be aware that recently an article had been written for a local newspaper identifying (what they interpret as) the top ten worst practices in Birmingham &amp; Solihull.  </w:t>
      </w:r>
    </w:p>
    <w:p w14:paraId="20C038D9" w14:textId="5B9AA387" w:rsidR="00BA67D5" w:rsidRDefault="00BA67D5" w:rsidP="00A20DA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pPr>
      <w:r>
        <w:t xml:space="preserve">The LMC were deeply disappointed by the production of this article, which had been written based on the outcome of a survey by Ipsos Mori on behalf of NHSE.  We felt that this study/commentary had been used to name and shame practices.  In support of these </w:t>
      </w:r>
      <w:r w:rsidR="00A20DA9">
        <w:t>practices,</w:t>
      </w:r>
      <w:r>
        <w:t xml:space="preserve"> we wrote to the ICB to express our concerns around this.  (Please see attached letter that has been forwarded to the ICB).</w:t>
      </w:r>
    </w:p>
    <w:p w14:paraId="6D77F7A0" w14:textId="12BCBE43" w:rsidR="00190356" w:rsidRPr="00A20DA9" w:rsidRDefault="00BA67D5" w:rsidP="00A20DA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pPr>
      <w:r>
        <w:t xml:space="preserve">Should any practice come across this type of exposure in the future please could you notify the LMC on </w:t>
      </w:r>
      <w:hyperlink r:id="rId14" w:history="1">
        <w:r>
          <w:rPr>
            <w:rStyle w:val="Hyperlink"/>
          </w:rPr>
          <w:t>birmingham.lmc@nhs.net</w:t>
        </w:r>
      </w:hyperlink>
    </w:p>
    <w:p w14:paraId="593D3637" w14:textId="77777777" w:rsidR="00190356" w:rsidRDefault="00190356" w:rsidP="003515F9">
      <w:pPr>
        <w:spacing w:before="240"/>
        <w:rPr>
          <w:b/>
          <w:i/>
          <w:color w:val="4472C4" w:themeColor="accent1"/>
          <w:sz w:val="44"/>
          <w:szCs w:val="44"/>
        </w:rPr>
      </w:pPr>
    </w:p>
    <w:p w14:paraId="5255D4EA" w14:textId="300061D6" w:rsidR="00001495" w:rsidRDefault="002720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bookmarkStart w:id="4" w:name="NO5"/>
      <w:r>
        <w:rPr>
          <w:b/>
          <w:bCs/>
          <w:lang w:eastAsia="en-GB"/>
        </w:rPr>
        <w:t>5.</w:t>
      </w:r>
      <w:r w:rsidR="00001495" w:rsidRPr="00272095">
        <w:rPr>
          <w:b/>
          <w:bCs/>
          <w:lang w:eastAsia="en-GB"/>
        </w:rPr>
        <w:t>Pay Transparency update</w:t>
      </w:r>
    </w:p>
    <w:bookmarkEnd w:id="4"/>
    <w:p w14:paraId="6FCF7547" w14:textId="77777777" w:rsidR="00272095" w:rsidRPr="00272095" w:rsidRDefault="002720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p>
    <w:p w14:paraId="41D60853"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In April 2022, amendments to the GP contract regulations were made that removed the requirement for individuals within scope of the general practice pay transparency provisions to make a self-declaration of their 2020/21 NHS earnings by 30 April 2022.  Individuals within scope of the pay transparency provisions are not required to take any action in relation to their 2020/21 NHS earnings at this stage.</w:t>
      </w:r>
    </w:p>
    <w:p w14:paraId="4B0A2088"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5E8EED14"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Pay transparency remains part of the current regulations, however DHSC has confirmed that commissioners should not enforce the requirement at this time.</w:t>
      </w:r>
    </w:p>
    <w:p w14:paraId="2C29F2C8"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6053A651"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 xml:space="preserve">Currently the individuals in scope of the regulations introduced in October 2021 will need to make a declaration of their 2021/2022 earnings in April 2023 as the provision remains in the GP contract. The latest position on Pay Transparency is available on the NHSE website:  </w:t>
      </w:r>
      <w:hyperlink r:id="rId15" w:history="1">
        <w:r w:rsidRPr="00272095">
          <w:rPr>
            <w:rStyle w:val="Hyperlink"/>
            <w:lang w:eastAsia="en-GB"/>
          </w:rPr>
          <w:t>NHS England » General practice pay transparency</w:t>
        </w:r>
      </w:hyperlink>
    </w:p>
    <w:p w14:paraId="04204C18"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6613DFF3" w14:textId="77777777" w:rsidR="00001495" w:rsidRPr="00272095" w:rsidRDefault="00001495" w:rsidP="002720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We continue to request further suspension of the requirement to declare earnings as we believe this is harmful to morale of the profession and could lead colleagues to reduce their working commitments or to retire.  We also believe that it is inequitable to single out general practice for this requirement.</w:t>
      </w:r>
    </w:p>
    <w:p w14:paraId="23836610" w14:textId="77777777" w:rsidR="00001495" w:rsidRPr="00272095" w:rsidRDefault="00001495" w:rsidP="00001495">
      <w:pPr>
        <w:rPr>
          <w:lang w:eastAsia="en-GB"/>
        </w:rPr>
      </w:pPr>
    </w:p>
    <w:p w14:paraId="02EF462A" w14:textId="77777777" w:rsidR="00001495" w:rsidRPr="00272095" w:rsidRDefault="00001495" w:rsidP="00001495">
      <w:pPr>
        <w:rPr>
          <w:lang w:eastAsia="en-GB"/>
        </w:rPr>
      </w:pPr>
    </w:p>
    <w:p w14:paraId="30635E46" w14:textId="77777777" w:rsidR="00001495" w:rsidRPr="00272095" w:rsidRDefault="00001495" w:rsidP="00001495">
      <w:pPr>
        <w:rPr>
          <w:lang w:eastAsia="en-GB"/>
        </w:rPr>
      </w:pPr>
    </w:p>
    <w:p w14:paraId="6F2472EE" w14:textId="72AC9737" w:rsidR="00001495" w:rsidRDefault="00D815A2"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color w:val="000000"/>
        </w:rPr>
      </w:pPr>
      <w:bookmarkStart w:id="5" w:name="NO6"/>
      <w:r>
        <w:rPr>
          <w:b/>
          <w:bCs/>
          <w:color w:val="000000"/>
        </w:rPr>
        <w:t>6.</w:t>
      </w:r>
      <w:r w:rsidR="00001495" w:rsidRPr="00272095">
        <w:rPr>
          <w:b/>
          <w:bCs/>
          <w:color w:val="000000"/>
        </w:rPr>
        <w:t>Changes to COVID-19 Vaccination ES (Phase 5)</w:t>
      </w:r>
    </w:p>
    <w:bookmarkEnd w:id="5"/>
    <w:p w14:paraId="5D5DC2C1" w14:textId="77777777" w:rsidR="00D815A2" w:rsidRPr="00272095" w:rsidRDefault="00D815A2"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6459FA96" w14:textId="77777777" w:rsidR="00001495" w:rsidRPr="00272095" w:rsidRDefault="00001495"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Many of you raised significant concerns about recent amendments to the Enhanced Service for the COVID-19 vaccination programme, particularly in relation to the reduction of the item of service charge from £12.56 to £10.06, the removal of the care home administrative payment, and the decision to pass the cost of consumables (needles and needle disposal, cotton swabs etc) on to practices.</w:t>
      </w:r>
    </w:p>
    <w:p w14:paraId="6AEF3C82" w14:textId="77777777" w:rsidR="00001495" w:rsidRPr="00272095" w:rsidRDefault="00001495"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76F13644" w14:textId="72DCDF16" w:rsidR="00001495" w:rsidRPr="00272095" w:rsidRDefault="00001495"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 xml:space="preserve">We wrote to Nikki </w:t>
      </w:r>
      <w:proofErr w:type="spellStart"/>
      <w:r w:rsidRPr="00272095">
        <w:rPr>
          <w:lang w:eastAsia="en-GB"/>
        </w:rPr>
        <w:t>Kanani</w:t>
      </w:r>
      <w:proofErr w:type="spellEnd"/>
      <w:r w:rsidRPr="00272095">
        <w:rPr>
          <w:lang w:eastAsia="en-GB"/>
        </w:rPr>
        <w:t xml:space="preserve"> (Medical Director of Primary Care, NHSE/I) and Amanda Doyle (Director of Primary and Community Care, NHSE/I) on 18 July to raise these concerns. We underlined the key role of, and enormous efforts made by, general practice in the rollout of the COVID-19 vaccination programme and highlighted that this amendment will effectively disincentivise practices from taking part – with severe risks to vaccine uptake and public health. We strongly urged NHSE to reverse its decision, and to extend the opt-in window to reflect these late changes. Finally, we </w:t>
      </w:r>
      <w:r w:rsidR="00895B61" w:rsidRPr="00272095">
        <w:rPr>
          <w:lang w:eastAsia="en-GB"/>
        </w:rPr>
        <w:t>employed</w:t>
      </w:r>
      <w:r w:rsidRPr="00272095">
        <w:rPr>
          <w:lang w:eastAsia="en-GB"/>
        </w:rPr>
        <w:t xml:space="preserve"> NHSE/I to adopt a collaborative approach on these crucial issues, noting that GPCE was not afforded a meaningful opportunity to negotiate these amendments.</w:t>
      </w:r>
    </w:p>
    <w:p w14:paraId="1EBBD667" w14:textId="77777777" w:rsidR="00001495" w:rsidRPr="00272095" w:rsidRDefault="00001495"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4ACB444C" w14:textId="19B25DD9" w:rsidR="00001495" w:rsidRPr="00272095" w:rsidRDefault="00001495" w:rsidP="00895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 xml:space="preserve">On 3 August we heard back from Nikki </w:t>
      </w:r>
      <w:proofErr w:type="spellStart"/>
      <w:r w:rsidRPr="00272095">
        <w:rPr>
          <w:lang w:eastAsia="en-GB"/>
        </w:rPr>
        <w:t>Kanani</w:t>
      </w:r>
      <w:proofErr w:type="spellEnd"/>
      <w:r w:rsidRPr="00272095">
        <w:rPr>
          <w:lang w:eastAsia="en-GB"/>
        </w:rPr>
        <w:t xml:space="preserve"> and Caroline </w:t>
      </w:r>
      <w:proofErr w:type="spellStart"/>
      <w:r w:rsidRPr="00272095">
        <w:rPr>
          <w:lang w:eastAsia="en-GB"/>
        </w:rPr>
        <w:t>Temmink</w:t>
      </w:r>
      <w:proofErr w:type="spellEnd"/>
      <w:r w:rsidRPr="00272095">
        <w:rPr>
          <w:lang w:eastAsia="en-GB"/>
        </w:rPr>
        <w:t xml:space="preserve"> (Director of Operations and Delivery, CVP, NHSE/I). Whilst it included recognition that general practice has helped to save ‘an estimated 200,000 lives and 186,600 hospital admissions’ throughout the pandemic, the response also made it clear that NHSE was not willing to make any of the concessions we had requested to ensure that the Enhanced Service remains sustainable. Whilst this is a frustrating outcome, we will continue to make representations on this issue to NHSE/I. Despite NHSE/I’s assertions, the pandemic remains a public health an emergency and therefore requires us to operate on an emergency footing; decisions taken to reduce the strength of our COVID-19 vaccination programme must be vehemently challenged.</w:t>
      </w:r>
    </w:p>
    <w:p w14:paraId="73080334" w14:textId="77777777" w:rsidR="00001495" w:rsidRPr="00272095" w:rsidRDefault="00001495" w:rsidP="00001495">
      <w:pPr>
        <w:rPr>
          <w:lang w:eastAsia="en-GB"/>
        </w:rPr>
      </w:pPr>
    </w:p>
    <w:p w14:paraId="2422E753" w14:textId="77777777" w:rsidR="00D91F14" w:rsidRDefault="00D91F14" w:rsidP="00D91F14">
      <w:pPr>
        <w:spacing w:after="0"/>
        <w:rPr>
          <w:b/>
          <w:bCs/>
          <w:lang w:eastAsia="en-GB"/>
        </w:rPr>
      </w:pPr>
    </w:p>
    <w:p w14:paraId="156FDBCD" w14:textId="0F88D35C" w:rsidR="00001495" w:rsidRDefault="00D91F14"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bookmarkStart w:id="6" w:name="NO7"/>
      <w:r>
        <w:rPr>
          <w:b/>
          <w:bCs/>
          <w:lang w:eastAsia="en-GB"/>
        </w:rPr>
        <w:t>7.</w:t>
      </w:r>
      <w:r w:rsidR="00001495" w:rsidRPr="00272095">
        <w:rPr>
          <w:b/>
          <w:bCs/>
          <w:lang w:eastAsia="en-GB"/>
        </w:rPr>
        <w:t xml:space="preserve">Patient Lists </w:t>
      </w:r>
    </w:p>
    <w:bookmarkEnd w:id="6"/>
    <w:p w14:paraId="34871E56" w14:textId="77777777" w:rsidR="00D91F14" w:rsidRPr="00272095" w:rsidRDefault="00D91F14"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p>
    <w:p w14:paraId="7F500F53" w14:textId="77777777"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 xml:space="preserve">NHSE/I has asked PCSE to recommence data quality checks on GP practice patients lists, this includes a reconciliation of practice patients lists. This work was paused during the COVID-19 pandemic but started again on Monday 1 August 2022. Copies of the communication circulated to practices can be found here: </w:t>
      </w:r>
      <w:hyperlink r:id="rId16" w:history="1">
        <w:r w:rsidRPr="00272095">
          <w:rPr>
            <w:rStyle w:val="Hyperlink"/>
            <w:lang w:eastAsia="en-GB"/>
          </w:rPr>
          <w:t>Patient list reconciliation</w:t>
        </w:r>
      </w:hyperlink>
      <w:r w:rsidRPr="00272095">
        <w:rPr>
          <w:lang w:eastAsia="en-GB"/>
        </w:rPr>
        <w:t xml:space="preserve"> and </w:t>
      </w:r>
      <w:hyperlink r:id="rId17" w:history="1">
        <w:r w:rsidRPr="00272095">
          <w:rPr>
            <w:rStyle w:val="Hyperlink"/>
            <w:lang w:eastAsia="en-GB"/>
          </w:rPr>
          <w:t>Patient list maintenance</w:t>
        </w:r>
      </w:hyperlink>
      <w:r w:rsidRPr="00272095">
        <w:rPr>
          <w:lang w:eastAsia="en-GB"/>
        </w:rPr>
        <w:t>.</w:t>
      </w:r>
    </w:p>
    <w:p w14:paraId="3D68EAC6" w14:textId="77777777"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7D037F13" w14:textId="43EC671D"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 xml:space="preserve">Although some targeted list reconciliation activity </w:t>
      </w:r>
      <w:r w:rsidR="00D91F14" w:rsidRPr="00272095">
        <w:rPr>
          <w:lang w:eastAsia="en-GB"/>
        </w:rPr>
        <w:t>continues</w:t>
      </w:r>
      <w:r w:rsidRPr="00272095">
        <w:rPr>
          <w:lang w:eastAsia="en-GB"/>
        </w:rPr>
        <w:t xml:space="preserve"> during the pandemic as essential groundwork for the decommissioning NHAIS, it </w:t>
      </w:r>
      <w:r w:rsidR="00286751" w:rsidRPr="00272095">
        <w:rPr>
          <w:lang w:eastAsia="en-GB"/>
        </w:rPr>
        <w:t>has now been</w:t>
      </w:r>
      <w:r w:rsidRPr="00272095">
        <w:rPr>
          <w:lang w:eastAsia="en-GB"/>
        </w:rPr>
        <w:t xml:space="preserve"> un-paused as a 3-year rolling cycle for all GP practices.  The reconciliation checks the practice-held list with the NHAIS list held by PCSE. PCSE plan to start a new 12-month cycle, meaning a third of practice will be contacted over the next 12 months that have not previously had a reconciliation request. </w:t>
      </w:r>
    </w:p>
    <w:p w14:paraId="0A2EF13E" w14:textId="77777777"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45E99C62" w14:textId="77777777"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lastRenderedPageBreak/>
        <w:t xml:space="preserve">We have raised our concern with NHSE/I that this is a bureaucratic burden for practices which will detract from practices’ capacity to provide patient care. We asked that the process be delayed until practices had their full complement of clinical and administrative workforce. </w:t>
      </w:r>
    </w:p>
    <w:p w14:paraId="2E2132AB" w14:textId="77777777" w:rsidR="00001495" w:rsidRPr="00272095"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p>
    <w:p w14:paraId="1E893256" w14:textId="664C88A5" w:rsidR="00190356" w:rsidRPr="00D91F14" w:rsidRDefault="00001495" w:rsidP="00D91F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rsidRPr="00272095">
        <w:rPr>
          <w:lang w:eastAsia="en-GB"/>
        </w:rPr>
        <w:t>Whilst NHSE/I have acknowledged and considered the points raised, they have declined our request, stating that the process will only affect a small proportion of practices nationally and that there will never be an ideal time to restart the process. </w:t>
      </w:r>
    </w:p>
    <w:p w14:paraId="74966503" w14:textId="77777777" w:rsidR="00190356" w:rsidRDefault="00190356" w:rsidP="003515F9">
      <w:pPr>
        <w:spacing w:before="240"/>
        <w:rPr>
          <w:b/>
          <w:i/>
          <w:color w:val="4472C4" w:themeColor="accent1"/>
          <w:sz w:val="44"/>
          <w:szCs w:val="44"/>
        </w:rPr>
      </w:pPr>
    </w:p>
    <w:p w14:paraId="03638BCC" w14:textId="411A2916" w:rsid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222222"/>
          <w:lang w:eastAsia="en-GB"/>
        </w:rPr>
      </w:pPr>
      <w:bookmarkStart w:id="7" w:name="NO8"/>
      <w:r w:rsidRPr="00391740">
        <w:rPr>
          <w:rFonts w:cstheme="minorHAnsi"/>
          <w:b/>
          <w:bCs/>
          <w:color w:val="000000" w:themeColor="text1"/>
          <w:lang w:eastAsia="en-GB"/>
        </w:rPr>
        <w:t>8.</w:t>
      </w:r>
      <w:r w:rsidRPr="00391740">
        <w:rPr>
          <w:rFonts w:cstheme="minorHAnsi"/>
          <w:b/>
          <w:bCs/>
          <w:color w:val="000000" w:themeColor="text1"/>
          <w:lang w:eastAsia="en-GB"/>
        </w:rPr>
        <w:t xml:space="preserve">New: </w:t>
      </w:r>
      <w:r w:rsidRPr="00391740">
        <w:rPr>
          <w:rFonts w:cstheme="minorHAnsi"/>
          <w:b/>
          <w:bCs/>
          <w:color w:val="222222"/>
          <w:lang w:eastAsia="en-GB"/>
        </w:rPr>
        <w:t>GP2GP - ensuring patient records are integrated within 8 days</w:t>
      </w:r>
    </w:p>
    <w:bookmarkEnd w:id="7"/>
    <w:p w14:paraId="49B49C0E" w14:textId="349997DB"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lang w:eastAsia="en-GB"/>
        </w:rPr>
      </w:pPr>
      <w:r w:rsidRPr="00391740">
        <w:rPr>
          <w:rFonts w:cstheme="minorHAnsi"/>
          <w:color w:val="222222"/>
          <w:lang w:eastAsia="en-GB"/>
        </w:rPr>
        <w:br/>
        <w:t>GP2GP allows patients' electronic health records to be transferred directly, securely and quickly between their own and new practice, when they change GP's. This improves patients care by making full and detailed medical records available to practices, for a new patient's first and later consultations. It is important to deal with GP2GP requests in a timely manner to help clinicians see up-to-date records of new patients, to prevent the need to print off patient records from the previous practice and to reduce processing of paper sent to your practice. It is important to process these within 8 days of receipt as any GP2GP transfers which fail initially, can be resent within a 7-day period.</w:t>
      </w:r>
      <w:r w:rsidRPr="00391740">
        <w:rPr>
          <w:rFonts w:cstheme="minorHAnsi"/>
          <w:color w:val="222222"/>
          <w:lang w:eastAsia="en-GB"/>
        </w:rPr>
        <w:br/>
      </w:r>
      <w:r w:rsidRPr="00391740">
        <w:rPr>
          <w:rFonts w:cstheme="minorHAnsi"/>
          <w:color w:val="222222"/>
          <w:lang w:eastAsia="en-GB"/>
        </w:rPr>
        <w:br/>
        <w:t>If transfers are not integrated within 8 days, this increases the quantity of paper records your practice will need to process and store. The previous practice will be automatically notified that the record has not been integrated, and that a paper copy of the electronic record should be printed, to send with the Lloyd George envelope to the new practice. Unnecessary printing causes avoidable work and expense for both your practice and the previous practice. Failure to integrate brings a clinical risk as clinicians cannot see the full patient record until the integration task is done.</w:t>
      </w:r>
    </w:p>
    <w:p w14:paraId="30D39C61" w14:textId="77777777"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lang w:eastAsia="en-GB"/>
        </w:rPr>
      </w:pPr>
    </w:p>
    <w:p w14:paraId="76CA3DAC" w14:textId="33491AB3"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FF"/>
          <w:lang w:eastAsia="en-GB"/>
        </w:rPr>
      </w:pPr>
      <w:r w:rsidRPr="00391740">
        <w:rPr>
          <w:rFonts w:cstheme="minorHAnsi"/>
          <w:lang w:eastAsia="en-GB"/>
        </w:rPr>
        <w:t xml:space="preserve">The LMC are led to believe that there is no GP2GP transfer if you ae a patient in Wales transferring to England.  If any practices are/have experienced issues please do let the LMC know.  </w:t>
      </w:r>
      <w:r w:rsidRPr="00391740">
        <w:rPr>
          <w:rFonts w:cstheme="minorHAnsi"/>
          <w:color w:val="222222"/>
          <w:lang w:eastAsia="en-GB"/>
        </w:rPr>
        <w:br/>
      </w:r>
      <w:r w:rsidRPr="00391740">
        <w:rPr>
          <w:rFonts w:cstheme="minorHAnsi"/>
          <w:color w:val="222222"/>
          <w:lang w:eastAsia="en-GB"/>
        </w:rPr>
        <w:br/>
        <w:t xml:space="preserve">For more information, </w:t>
      </w:r>
      <w:hyperlink r:id="rId18" w:history="1">
        <w:r w:rsidRPr="00391740">
          <w:rPr>
            <w:rStyle w:val="Hyperlink"/>
            <w:rFonts w:cstheme="minorHAnsi"/>
            <w:color w:val="005EB8"/>
            <w:lang w:eastAsia="en-GB"/>
          </w:rPr>
          <w:t>click here</w:t>
        </w:r>
      </w:hyperlink>
      <w:r w:rsidRPr="00391740">
        <w:rPr>
          <w:rFonts w:cstheme="minorHAnsi"/>
          <w:color w:val="222222"/>
          <w:lang w:eastAsia="en-GB"/>
        </w:rPr>
        <w:t>.</w:t>
      </w:r>
    </w:p>
    <w:p w14:paraId="47ACD756" w14:textId="77777777" w:rsidR="00391740" w:rsidRPr="00391740" w:rsidRDefault="00391740" w:rsidP="00391740">
      <w:pPr>
        <w:rPr>
          <w:rFonts w:cstheme="minorHAnsi"/>
          <w:b/>
          <w:bCs/>
          <w:color w:val="0000FF"/>
          <w:lang w:eastAsia="en-GB"/>
        </w:rPr>
      </w:pPr>
    </w:p>
    <w:p w14:paraId="4CCDCECA" w14:textId="77777777" w:rsidR="00391740" w:rsidRPr="00391740" w:rsidRDefault="00391740" w:rsidP="00391740">
      <w:pPr>
        <w:rPr>
          <w:rFonts w:cstheme="minorHAnsi"/>
          <w:b/>
          <w:bCs/>
          <w:color w:val="0000FF"/>
          <w:lang w:eastAsia="en-GB"/>
        </w:rPr>
      </w:pPr>
    </w:p>
    <w:p w14:paraId="48B0B58E" w14:textId="1ABFA1A9" w:rsid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8" w:name="NO9"/>
      <w:r w:rsidRPr="00391740">
        <w:rPr>
          <w:rFonts w:cstheme="minorHAnsi"/>
          <w:b/>
          <w:bCs/>
          <w:color w:val="000000" w:themeColor="text1"/>
          <w:lang w:eastAsia="en-GB"/>
        </w:rPr>
        <w:t>9.</w:t>
      </w:r>
      <w:r w:rsidRPr="00391740">
        <w:rPr>
          <w:rFonts w:cstheme="minorHAnsi"/>
          <w:b/>
          <w:bCs/>
          <w:color w:val="000000" w:themeColor="text1"/>
          <w:lang w:eastAsia="en-GB"/>
        </w:rPr>
        <w:t xml:space="preserve">New: New </w:t>
      </w:r>
      <w:r w:rsidRPr="00391740">
        <w:rPr>
          <w:rFonts w:cstheme="minorHAnsi"/>
          <w:b/>
          <w:bCs/>
          <w:color w:val="222222"/>
          <w:lang w:eastAsia="en-GB"/>
        </w:rPr>
        <w:t>ADHD referral form</w:t>
      </w:r>
    </w:p>
    <w:bookmarkEnd w:id="8"/>
    <w:p w14:paraId="0E82FF57" w14:textId="22B30417"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391740">
        <w:rPr>
          <w:rFonts w:cstheme="minorHAnsi"/>
          <w:color w:val="222222"/>
          <w:lang w:eastAsia="en-GB"/>
        </w:rPr>
        <w:br/>
        <w:t xml:space="preserve">Please note there is a new form for use with immediate effect for referrals to the ADHD service at Birmingham and Solihull Mental Health NHS Foundation Trust. Practices will be able to locate the referral form on your clinical systems by searching for the title name </w:t>
      </w:r>
      <w:r w:rsidRPr="00391740">
        <w:rPr>
          <w:rFonts w:cstheme="minorHAnsi"/>
          <w:b/>
          <w:bCs/>
          <w:color w:val="222222"/>
          <w:lang w:eastAsia="en-GB"/>
        </w:rPr>
        <w:t>BSMHFT Adult ADHD Referral Form ICB v1.0</w:t>
      </w:r>
      <w:r w:rsidRPr="00391740">
        <w:rPr>
          <w:rFonts w:cstheme="minorHAnsi"/>
          <w:color w:val="222222"/>
          <w:lang w:eastAsia="en-GB"/>
        </w:rPr>
        <w:t xml:space="preserve">. Please send the completed form to </w:t>
      </w:r>
      <w:hyperlink r:id="rId19" w:history="1">
        <w:r w:rsidRPr="00391740">
          <w:rPr>
            <w:rStyle w:val="Hyperlink"/>
            <w:rFonts w:cstheme="minorHAnsi"/>
            <w:color w:val="005EB8"/>
            <w:lang w:eastAsia="en-GB"/>
          </w:rPr>
          <w:t>bsmhft.adhdreferrals@nhs.net</w:t>
        </w:r>
      </w:hyperlink>
      <w:r w:rsidRPr="00391740">
        <w:rPr>
          <w:rFonts w:cstheme="minorHAnsi"/>
          <w:color w:val="222222"/>
          <w:lang w:eastAsia="en-GB"/>
        </w:rPr>
        <w:br/>
        <w:t> </w:t>
      </w:r>
      <w:r w:rsidRPr="00391740">
        <w:rPr>
          <w:rFonts w:cstheme="minorHAnsi"/>
          <w:color w:val="222222"/>
          <w:lang w:eastAsia="en-GB"/>
        </w:rPr>
        <w:br/>
      </w:r>
      <w:r w:rsidRPr="00391740">
        <w:rPr>
          <w:rFonts w:cstheme="minorHAnsi"/>
          <w:color w:val="222222"/>
          <w:lang w:eastAsia="en-GB"/>
        </w:rPr>
        <w:lastRenderedPageBreak/>
        <w:t>This is for referral of patients aged 18</w:t>
      </w:r>
      <w:r w:rsidRPr="00391740">
        <w:rPr>
          <w:rFonts w:cstheme="minorHAnsi"/>
          <w:color w:val="222222"/>
          <w:lang w:eastAsia="en-GB"/>
        </w:rPr>
        <w:t>+ from</w:t>
      </w:r>
      <w:r w:rsidRPr="00391740">
        <w:rPr>
          <w:rFonts w:cstheme="minorHAnsi"/>
          <w:color w:val="222222"/>
          <w:lang w:eastAsia="en-GB"/>
        </w:rPr>
        <w:t xml:space="preserve"> Solihull and 25+ from Birmingham. Birmingham patients aged under 25 should be referred to Forward Thinking Birmingham.</w:t>
      </w:r>
    </w:p>
    <w:p w14:paraId="21CF5045" w14:textId="77777777" w:rsidR="00391740" w:rsidRDefault="00391740" w:rsidP="00391740">
      <w:pPr>
        <w:spacing w:line="315" w:lineRule="atLeast"/>
        <w:textAlignment w:val="center"/>
        <w:rPr>
          <w:rFonts w:cstheme="minorHAnsi"/>
          <w:b/>
          <w:bCs/>
          <w:color w:val="030303"/>
          <w:position w:val="17"/>
          <w:lang w:eastAsia="en-GB"/>
        </w:rPr>
      </w:pPr>
    </w:p>
    <w:p w14:paraId="292828C8" w14:textId="77777777" w:rsidR="00391740" w:rsidRDefault="00391740" w:rsidP="00391740">
      <w:pPr>
        <w:spacing w:line="315" w:lineRule="atLeast"/>
        <w:textAlignment w:val="center"/>
        <w:rPr>
          <w:rFonts w:cstheme="minorHAnsi"/>
          <w:b/>
          <w:bCs/>
          <w:color w:val="030303"/>
          <w:position w:val="17"/>
          <w:lang w:eastAsia="en-GB"/>
        </w:rPr>
      </w:pPr>
    </w:p>
    <w:p w14:paraId="235B02DF" w14:textId="3052D36D"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9" w:name="NU10"/>
      <w:r>
        <w:rPr>
          <w:rFonts w:cstheme="minorHAnsi"/>
          <w:b/>
          <w:bCs/>
          <w:color w:val="030303"/>
          <w:position w:val="17"/>
          <w:lang w:eastAsia="en-GB"/>
        </w:rPr>
        <w:t>10.</w:t>
      </w:r>
      <w:r w:rsidRPr="00391740">
        <w:rPr>
          <w:rFonts w:cstheme="minorHAnsi"/>
          <w:b/>
          <w:bCs/>
          <w:color w:val="030303"/>
          <w:position w:val="17"/>
          <w:lang w:eastAsia="en-GB"/>
        </w:rPr>
        <w:t>Reminder: 1 August changes to access requests for a deceased persons patient record</w:t>
      </w:r>
    </w:p>
    <w:bookmarkEnd w:id="9"/>
    <w:p w14:paraId="7589D915" w14:textId="7F2393D6"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391740">
        <w:rPr>
          <w:rFonts w:cstheme="minorHAnsi"/>
          <w:color w:val="030303"/>
          <w:position w:val="17"/>
          <w:lang w:eastAsia="en-GB"/>
        </w:rPr>
        <w:t xml:space="preserve">In line with the </w:t>
      </w:r>
      <w:r w:rsidRPr="00391740">
        <w:rPr>
          <w:rFonts w:cstheme="minorHAnsi"/>
          <w:color w:val="030303"/>
          <w:position w:val="17"/>
          <w:lang w:eastAsia="en-GB"/>
        </w:rPr>
        <w:t>changes,</w:t>
      </w:r>
      <w:r w:rsidRPr="00391740">
        <w:rPr>
          <w:rFonts w:cstheme="minorHAnsi"/>
          <w:color w:val="030303"/>
          <w:position w:val="17"/>
          <w:lang w:eastAsia="en-GB"/>
        </w:rPr>
        <w:t xml:space="preserve"> we made in March 2022 to the GP contract, the management of applications made under the Access to Health Records Act 1990 (AHRA) for deceased patient records has changed. GP Practices are no longer required to print off digitised records and send them to Primary Care Support England (PCSE) after the death of an individual.</w:t>
      </w:r>
    </w:p>
    <w:p w14:paraId="445A040C" w14:textId="77777777" w:rsidR="00391740" w:rsidRPr="00391740" w:rsidRDefault="00391740" w:rsidP="0039174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391740">
        <w:rPr>
          <w:rFonts w:cstheme="minorHAnsi"/>
          <w:color w:val="030303"/>
          <w:position w:val="17"/>
          <w:lang w:eastAsia="en-GB"/>
        </w:rPr>
        <w:t>From 1 August, the patient’s last registered GP, as the holder of the record, is responsible for responding to access requests under AHRA. Supplementary AHRA guidance is currently going through the approval process and will be published shortly.</w:t>
      </w:r>
    </w:p>
    <w:p w14:paraId="3F714B4E" w14:textId="489CB34E" w:rsidR="00190356" w:rsidRPr="007A6C85" w:rsidRDefault="00391740" w:rsidP="007A6C8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ascii="Arial" w:hAnsi="Arial" w:cs="Arial"/>
          <w:color w:val="030303"/>
          <w:position w:val="17"/>
          <w:sz w:val="20"/>
          <w:szCs w:val="20"/>
          <w:lang w:eastAsia="en-GB"/>
        </w:rPr>
      </w:pPr>
      <w:hyperlink r:id="rId20" w:history="1">
        <w:r w:rsidRPr="00391740">
          <w:rPr>
            <w:rStyle w:val="Hyperlink"/>
            <w:rFonts w:cstheme="minorHAnsi"/>
            <w:color w:val="005EB8"/>
            <w:position w:val="17"/>
            <w:lang w:eastAsia="en-GB"/>
          </w:rPr>
          <w:t>Guidance is available if you require a copy of the deceased patient record, held by PCSE, to support an AHRA request</w:t>
        </w:r>
      </w:hyperlink>
      <w:r>
        <w:rPr>
          <w:rFonts w:ascii="Arial" w:hAnsi="Arial" w:cs="Arial"/>
          <w:color w:val="030303"/>
          <w:position w:val="17"/>
          <w:sz w:val="20"/>
          <w:szCs w:val="20"/>
          <w:lang w:eastAsia="en-GB"/>
        </w:rPr>
        <w:t>.</w:t>
      </w:r>
    </w:p>
    <w:p w14:paraId="57B322C1" w14:textId="77777777" w:rsidR="00361AAE" w:rsidRDefault="00361AAE" w:rsidP="003515F9">
      <w:pPr>
        <w:spacing w:before="240"/>
        <w:rPr>
          <w:b/>
          <w:i/>
          <w:color w:val="4472C4" w:themeColor="accent1"/>
          <w:sz w:val="44"/>
          <w:szCs w:val="44"/>
        </w:rPr>
      </w:pPr>
    </w:p>
    <w:p w14:paraId="77B4E912" w14:textId="0567DA4E"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Pr>
          <w:b/>
          <w:bCs/>
        </w:rPr>
        <w:t>11.</w:t>
      </w:r>
      <w:r w:rsidRPr="00361AAE">
        <w:rPr>
          <w:b/>
          <w:bCs/>
        </w:rPr>
        <w:t>GP Wellbeing</w:t>
      </w:r>
    </w:p>
    <w:bookmarkEnd w:id="10"/>
    <w:p w14:paraId="725E56EA"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t xml:space="preserve">Last week we wrote to BMA members regarding the </w:t>
      </w:r>
      <w:hyperlink r:id="rId21" w:history="1">
        <w:r w:rsidRPr="00361AAE">
          <w:rPr>
            <w:rStyle w:val="Hyperlink"/>
          </w:rPr>
          <w:t>distressing news</w:t>
        </w:r>
      </w:hyperlink>
      <w:r w:rsidRPr="00361AAE">
        <w:t xml:space="preserve"> that Dr Gail Milligan, a GP at Camberley Health Centre in Surrey, took her own life, and to inform that on behalf of the BMA and the General Practitioners Committee, we have expressed our condolences to Dr Milligan’s family and her Practice.</w:t>
      </w:r>
    </w:p>
    <w:p w14:paraId="2839471F"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86A2A55" w14:textId="5F025824"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t xml:space="preserve">We know Dr Milligan was, like so many of us, under intense pressure at work, as we struggle to meet what often feel like the impossible demands of the job. It’s clear that action by Government is the only way in which these systemic pressures can be relieved on a long-term basis. On behalf of the profession, we have long been urging government to tackle these issues that contribute to burnout and worsening wellbeing among doctors, be they GPs or otherwise, and we will continue to raise these issues. Last week we wrote to James Morris MP, the minister for primary care, urging him to </w:t>
      </w:r>
      <w:r w:rsidRPr="00361AAE">
        <w:t>act</w:t>
      </w:r>
      <w:r w:rsidRPr="00361AAE">
        <w:t>, and we will continue to impress upon the government the need to support the workforce.</w:t>
      </w:r>
    </w:p>
    <w:p w14:paraId="5BE6CFF3"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0C48BA6"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t>Here at the BMA, we want you all to know you have the support of your colleagues and your union. A range of wellbeing and support services are available to doctors, and we encourage anybody who is feeling under strain to seek support.  Please take a moment to check in on your colleagues’ wellbeing and look out for each other.</w:t>
      </w:r>
    </w:p>
    <w:p w14:paraId="4F2E2822"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8C68F79"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lastRenderedPageBreak/>
        <w:t xml:space="preserve">Support comes in various forms, from confidential counselling services to networking groups and wellbeing hubs with peers as well as the </w:t>
      </w:r>
      <w:hyperlink r:id="rId22" w:history="1">
        <w:r w:rsidRPr="00361AAE">
          <w:rPr>
            <w:rStyle w:val="Hyperlink"/>
          </w:rPr>
          <w:t>NHS’s Practitioner Health service</w:t>
        </w:r>
      </w:hyperlink>
      <w:r w:rsidRPr="00361AAE">
        <w:t xml:space="preserve"> and non-medical support services such as </w:t>
      </w:r>
      <w:hyperlink r:id="rId23" w:history="1">
        <w:r w:rsidRPr="00361AAE">
          <w:rPr>
            <w:rStyle w:val="Hyperlink"/>
          </w:rPr>
          <w:t>Samaritans</w:t>
        </w:r>
      </w:hyperlink>
      <w:r w:rsidRPr="00361AAE">
        <w:t xml:space="preserve">. </w:t>
      </w:r>
    </w:p>
    <w:p w14:paraId="347AD6BF"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78D234B"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t>Specialist services are also available, helping doctors with specific issues ranging from Covid and addiction to financial and legal assistance. Most services are free of charge and available to all doctors and medical students, not just BMA members. Please do not hesitate to reach out.</w:t>
      </w:r>
    </w:p>
    <w:p w14:paraId="2C8FE025"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696B480" w14:textId="77777777" w:rsidR="00361AAE" w:rsidRPr="00361AAE" w:rsidRDefault="00361AAE" w:rsidP="00361AA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61AAE">
        <w:t xml:space="preserve">Please visit the BMA’s dedicated </w:t>
      </w:r>
      <w:hyperlink r:id="rId24" w:history="1">
        <w:r w:rsidRPr="00361AAE">
          <w:rPr>
            <w:rStyle w:val="Hyperlink"/>
          </w:rPr>
          <w:t>wellbeing support services page</w:t>
        </w:r>
      </w:hyperlink>
      <w:r w:rsidRPr="00361AAE">
        <w:rPr>
          <w:color w:val="0563C1"/>
          <w:u w:val="single"/>
        </w:rPr>
        <w:t>,</w:t>
      </w:r>
      <w:r w:rsidRPr="00361AAE">
        <w:t xml:space="preserve"> speak to a BMA adviser on </w:t>
      </w:r>
      <w:hyperlink r:id="rId25" w:tooltip="Wellbeing phone number" w:history="1">
        <w:r w:rsidRPr="00361AAE">
          <w:rPr>
            <w:rStyle w:val="Hyperlink"/>
            <w:b/>
            <w:bCs/>
          </w:rPr>
          <w:t>0330 123 1245</w:t>
        </w:r>
      </w:hyperlink>
      <w:r w:rsidRPr="00361AAE">
        <w:t> or email </w:t>
      </w:r>
      <w:hyperlink r:id="rId26" w:history="1">
        <w:r w:rsidRPr="00361AAE">
          <w:rPr>
            <w:rStyle w:val="Hyperlink"/>
            <w:b/>
            <w:bCs/>
          </w:rPr>
          <w:t>support@bma.org.uk</w:t>
        </w:r>
      </w:hyperlink>
      <w:r w:rsidRPr="00361AAE">
        <w:t xml:space="preserve"> and for further information see our </w:t>
      </w:r>
      <w:hyperlink r:id="rId27" w:history="1">
        <w:r w:rsidRPr="00361AAE">
          <w:rPr>
            <w:rStyle w:val="Hyperlink"/>
          </w:rPr>
          <w:t>extended directory</w:t>
        </w:r>
      </w:hyperlink>
      <w:r w:rsidRPr="00361AAE">
        <w:t>. We encourage you to access any, or all, of the forms support mentioned above, or encourage colleagues to do so, if you believe your or colleagues’ wellbeing is at risk.</w:t>
      </w:r>
    </w:p>
    <w:p w14:paraId="7E9749CB" w14:textId="77777777" w:rsidR="00361AAE" w:rsidRDefault="00361AAE" w:rsidP="00361AAE"/>
    <w:p w14:paraId="1824F4BC" w14:textId="77777777" w:rsidR="00361AAE" w:rsidRPr="00C71EE3" w:rsidRDefault="00361AAE" w:rsidP="003515F9">
      <w:pPr>
        <w:spacing w:before="240"/>
        <w:rPr>
          <w:b/>
          <w:i/>
          <w:color w:val="4472C4" w:themeColor="accent1"/>
          <w:sz w:val="44"/>
          <w:szCs w:val="44"/>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2"/>
      <w:footerReference w:type="default" r:id="rId3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F5A2F" w14:textId="77777777" w:rsidR="00A160DB" w:rsidRDefault="00A160DB" w:rsidP="001B4E81">
      <w:pPr>
        <w:spacing w:after="0" w:line="240" w:lineRule="auto"/>
      </w:pPr>
      <w:r>
        <w:separator/>
      </w:r>
    </w:p>
  </w:endnote>
  <w:endnote w:type="continuationSeparator" w:id="0">
    <w:p w14:paraId="4C895CBB" w14:textId="77777777" w:rsidR="00A160DB" w:rsidRDefault="00A160DB" w:rsidP="001B4E81">
      <w:pPr>
        <w:spacing w:after="0" w:line="240" w:lineRule="auto"/>
      </w:pPr>
      <w:r>
        <w:continuationSeparator/>
      </w:r>
    </w:p>
  </w:endnote>
  <w:endnote w:type="continuationNotice" w:id="1">
    <w:p w14:paraId="2CF732B8" w14:textId="77777777" w:rsidR="00A160DB" w:rsidRDefault="00A160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8AA45" w14:textId="77777777" w:rsidR="00A160DB" w:rsidRDefault="00A160DB" w:rsidP="001B4E81">
      <w:pPr>
        <w:spacing w:after="0" w:line="240" w:lineRule="auto"/>
      </w:pPr>
      <w:r>
        <w:separator/>
      </w:r>
    </w:p>
  </w:footnote>
  <w:footnote w:type="continuationSeparator" w:id="0">
    <w:p w14:paraId="4547FC85" w14:textId="77777777" w:rsidR="00A160DB" w:rsidRDefault="00A160DB" w:rsidP="001B4E81">
      <w:pPr>
        <w:spacing w:after="0" w:line="240" w:lineRule="auto"/>
      </w:pPr>
      <w:r>
        <w:continuationSeparator/>
      </w:r>
    </w:p>
  </w:footnote>
  <w:footnote w:type="continuationNotice" w:id="1">
    <w:p w14:paraId="62C92DDD" w14:textId="77777777" w:rsidR="00A160DB" w:rsidRDefault="00A160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D63C50"/>
    <w:multiLevelType w:val="multilevel"/>
    <w:tmpl w:val="1DEC2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0A7A8"/>
    <w:multiLevelType w:val="hybridMultilevel"/>
    <w:tmpl w:val="9BCEC79A"/>
    <w:lvl w:ilvl="0" w:tplc="D11004D8">
      <w:start w:val="1"/>
      <w:numFmt w:val="bullet"/>
      <w:lvlText w:val="·"/>
      <w:lvlJc w:val="left"/>
      <w:pPr>
        <w:ind w:left="720" w:hanging="360"/>
      </w:pPr>
      <w:rPr>
        <w:rFonts w:ascii="Symbol" w:hAnsi="Symbol" w:hint="default"/>
      </w:rPr>
    </w:lvl>
    <w:lvl w:ilvl="1" w:tplc="407E7F78">
      <w:start w:val="1"/>
      <w:numFmt w:val="bullet"/>
      <w:lvlText w:val="o"/>
      <w:lvlJc w:val="left"/>
      <w:pPr>
        <w:ind w:left="1440" w:hanging="360"/>
      </w:pPr>
      <w:rPr>
        <w:rFonts w:ascii="Courier New" w:hAnsi="Courier New" w:cs="Times New Roman" w:hint="default"/>
      </w:rPr>
    </w:lvl>
    <w:lvl w:ilvl="2" w:tplc="91E2294E">
      <w:start w:val="1"/>
      <w:numFmt w:val="bullet"/>
      <w:lvlText w:val=""/>
      <w:lvlJc w:val="left"/>
      <w:pPr>
        <w:ind w:left="2160" w:hanging="360"/>
      </w:pPr>
      <w:rPr>
        <w:rFonts w:ascii="Wingdings" w:hAnsi="Wingdings" w:hint="default"/>
      </w:rPr>
    </w:lvl>
    <w:lvl w:ilvl="3" w:tplc="EA2C3294">
      <w:start w:val="1"/>
      <w:numFmt w:val="bullet"/>
      <w:lvlText w:val=""/>
      <w:lvlJc w:val="left"/>
      <w:pPr>
        <w:ind w:left="2880" w:hanging="360"/>
      </w:pPr>
      <w:rPr>
        <w:rFonts w:ascii="Symbol" w:hAnsi="Symbol" w:hint="default"/>
      </w:rPr>
    </w:lvl>
    <w:lvl w:ilvl="4" w:tplc="9DB8028C">
      <w:start w:val="1"/>
      <w:numFmt w:val="bullet"/>
      <w:lvlText w:val="o"/>
      <w:lvlJc w:val="left"/>
      <w:pPr>
        <w:ind w:left="3600" w:hanging="360"/>
      </w:pPr>
      <w:rPr>
        <w:rFonts w:ascii="Courier New" w:hAnsi="Courier New" w:cs="Times New Roman" w:hint="default"/>
      </w:rPr>
    </w:lvl>
    <w:lvl w:ilvl="5" w:tplc="35C2BA8C">
      <w:start w:val="1"/>
      <w:numFmt w:val="bullet"/>
      <w:lvlText w:val=""/>
      <w:lvlJc w:val="left"/>
      <w:pPr>
        <w:ind w:left="4320" w:hanging="360"/>
      </w:pPr>
      <w:rPr>
        <w:rFonts w:ascii="Wingdings" w:hAnsi="Wingdings" w:hint="default"/>
      </w:rPr>
    </w:lvl>
    <w:lvl w:ilvl="6" w:tplc="15FA57A2">
      <w:start w:val="1"/>
      <w:numFmt w:val="bullet"/>
      <w:lvlText w:val=""/>
      <w:lvlJc w:val="left"/>
      <w:pPr>
        <w:ind w:left="5040" w:hanging="360"/>
      </w:pPr>
      <w:rPr>
        <w:rFonts w:ascii="Symbol" w:hAnsi="Symbol" w:hint="default"/>
      </w:rPr>
    </w:lvl>
    <w:lvl w:ilvl="7" w:tplc="7A34A890">
      <w:start w:val="1"/>
      <w:numFmt w:val="bullet"/>
      <w:lvlText w:val="o"/>
      <w:lvlJc w:val="left"/>
      <w:pPr>
        <w:ind w:left="5760" w:hanging="360"/>
      </w:pPr>
      <w:rPr>
        <w:rFonts w:ascii="Courier New" w:hAnsi="Courier New" w:cs="Times New Roman" w:hint="default"/>
      </w:rPr>
    </w:lvl>
    <w:lvl w:ilvl="8" w:tplc="11622578">
      <w:start w:val="1"/>
      <w:numFmt w:val="bullet"/>
      <w:lvlText w:val=""/>
      <w:lvlJc w:val="left"/>
      <w:pPr>
        <w:ind w:left="6480" w:hanging="360"/>
      </w:pPr>
      <w:rPr>
        <w:rFonts w:ascii="Wingdings" w:hAnsi="Wingdings" w:hint="default"/>
      </w:rPr>
    </w:lvl>
  </w:abstractNum>
  <w:abstractNum w:abstractNumId="4"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242AF0"/>
    <w:multiLevelType w:val="hybridMultilevel"/>
    <w:tmpl w:val="CAE68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5AC453"/>
    <w:multiLevelType w:val="hybridMultilevel"/>
    <w:tmpl w:val="53AA3008"/>
    <w:lvl w:ilvl="0" w:tplc="1018EA9E">
      <w:start w:val="1"/>
      <w:numFmt w:val="bullet"/>
      <w:lvlText w:val="·"/>
      <w:lvlJc w:val="left"/>
      <w:pPr>
        <w:ind w:left="720" w:hanging="360"/>
      </w:pPr>
      <w:rPr>
        <w:rFonts w:ascii="Symbol" w:hAnsi="Symbol" w:hint="default"/>
      </w:rPr>
    </w:lvl>
    <w:lvl w:ilvl="1" w:tplc="3EDAAA22">
      <w:start w:val="1"/>
      <w:numFmt w:val="bullet"/>
      <w:lvlText w:val="o"/>
      <w:lvlJc w:val="left"/>
      <w:pPr>
        <w:ind w:left="1440" w:hanging="360"/>
      </w:pPr>
      <w:rPr>
        <w:rFonts w:ascii="Courier New" w:hAnsi="Courier New" w:cs="Times New Roman" w:hint="default"/>
      </w:rPr>
    </w:lvl>
    <w:lvl w:ilvl="2" w:tplc="5596C4D0">
      <w:start w:val="1"/>
      <w:numFmt w:val="bullet"/>
      <w:lvlText w:val=""/>
      <w:lvlJc w:val="left"/>
      <w:pPr>
        <w:ind w:left="2160" w:hanging="360"/>
      </w:pPr>
      <w:rPr>
        <w:rFonts w:ascii="Wingdings" w:hAnsi="Wingdings" w:hint="default"/>
      </w:rPr>
    </w:lvl>
    <w:lvl w:ilvl="3" w:tplc="F5CACEF6">
      <w:start w:val="1"/>
      <w:numFmt w:val="bullet"/>
      <w:lvlText w:val=""/>
      <w:lvlJc w:val="left"/>
      <w:pPr>
        <w:ind w:left="2880" w:hanging="360"/>
      </w:pPr>
      <w:rPr>
        <w:rFonts w:ascii="Symbol" w:hAnsi="Symbol" w:hint="default"/>
      </w:rPr>
    </w:lvl>
    <w:lvl w:ilvl="4" w:tplc="351E2268">
      <w:start w:val="1"/>
      <w:numFmt w:val="bullet"/>
      <w:lvlText w:val="o"/>
      <w:lvlJc w:val="left"/>
      <w:pPr>
        <w:ind w:left="3600" w:hanging="360"/>
      </w:pPr>
      <w:rPr>
        <w:rFonts w:ascii="Courier New" w:hAnsi="Courier New" w:cs="Times New Roman" w:hint="default"/>
      </w:rPr>
    </w:lvl>
    <w:lvl w:ilvl="5" w:tplc="3CFE450C">
      <w:start w:val="1"/>
      <w:numFmt w:val="bullet"/>
      <w:lvlText w:val=""/>
      <w:lvlJc w:val="left"/>
      <w:pPr>
        <w:ind w:left="4320" w:hanging="360"/>
      </w:pPr>
      <w:rPr>
        <w:rFonts w:ascii="Wingdings" w:hAnsi="Wingdings" w:hint="default"/>
      </w:rPr>
    </w:lvl>
    <w:lvl w:ilvl="6" w:tplc="71BA4DC2">
      <w:start w:val="1"/>
      <w:numFmt w:val="bullet"/>
      <w:lvlText w:val=""/>
      <w:lvlJc w:val="left"/>
      <w:pPr>
        <w:ind w:left="5040" w:hanging="360"/>
      </w:pPr>
      <w:rPr>
        <w:rFonts w:ascii="Symbol" w:hAnsi="Symbol" w:hint="default"/>
      </w:rPr>
    </w:lvl>
    <w:lvl w:ilvl="7" w:tplc="7DBACCF6">
      <w:start w:val="1"/>
      <w:numFmt w:val="bullet"/>
      <w:lvlText w:val="o"/>
      <w:lvlJc w:val="left"/>
      <w:pPr>
        <w:ind w:left="5760" w:hanging="360"/>
      </w:pPr>
      <w:rPr>
        <w:rFonts w:ascii="Courier New" w:hAnsi="Courier New" w:cs="Times New Roman" w:hint="default"/>
      </w:rPr>
    </w:lvl>
    <w:lvl w:ilvl="8" w:tplc="88BE5300">
      <w:start w:val="1"/>
      <w:numFmt w:val="bullet"/>
      <w:lvlText w:val=""/>
      <w:lvlJc w:val="left"/>
      <w:pPr>
        <w:ind w:left="6480" w:hanging="360"/>
      </w:pPr>
      <w:rPr>
        <w:rFonts w:ascii="Wingdings" w:hAnsi="Wingdings" w:hint="default"/>
      </w:rPr>
    </w:lvl>
  </w:abstractNum>
  <w:abstractNum w:abstractNumId="11"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8172B2"/>
    <w:multiLevelType w:val="multilevel"/>
    <w:tmpl w:val="CE287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B225DF"/>
    <w:multiLevelType w:val="hybridMultilevel"/>
    <w:tmpl w:val="40FEE0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EAD06EC"/>
    <w:multiLevelType w:val="hybridMultilevel"/>
    <w:tmpl w:val="96002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18337B"/>
    <w:multiLevelType w:val="multilevel"/>
    <w:tmpl w:val="8CEA8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793BB1"/>
    <w:multiLevelType w:val="hybridMultilevel"/>
    <w:tmpl w:val="961A0A16"/>
    <w:lvl w:ilvl="0" w:tplc="6192723C">
      <w:start w:val="1"/>
      <w:numFmt w:val="bullet"/>
      <w:lvlText w:val=""/>
      <w:lvlJc w:val="left"/>
      <w:pPr>
        <w:ind w:left="720" w:hanging="360"/>
      </w:pPr>
      <w:rPr>
        <w:rFonts w:ascii="Symbol" w:hAnsi="Symbol" w:hint="default"/>
      </w:rPr>
    </w:lvl>
    <w:lvl w:ilvl="1" w:tplc="03D444D2">
      <w:start w:val="1"/>
      <w:numFmt w:val="bullet"/>
      <w:lvlText w:val="o"/>
      <w:lvlJc w:val="left"/>
      <w:pPr>
        <w:ind w:left="1440" w:hanging="360"/>
      </w:pPr>
      <w:rPr>
        <w:rFonts w:ascii="Courier New" w:hAnsi="Courier New" w:cs="Times New Roman" w:hint="default"/>
      </w:rPr>
    </w:lvl>
    <w:lvl w:ilvl="2" w:tplc="81F295CC">
      <w:start w:val="1"/>
      <w:numFmt w:val="bullet"/>
      <w:lvlText w:val=""/>
      <w:lvlJc w:val="left"/>
      <w:pPr>
        <w:ind w:left="2160" w:hanging="360"/>
      </w:pPr>
      <w:rPr>
        <w:rFonts w:ascii="Wingdings" w:hAnsi="Wingdings" w:hint="default"/>
      </w:rPr>
    </w:lvl>
    <w:lvl w:ilvl="3" w:tplc="22649DEE">
      <w:start w:val="1"/>
      <w:numFmt w:val="bullet"/>
      <w:lvlText w:val=""/>
      <w:lvlJc w:val="left"/>
      <w:pPr>
        <w:ind w:left="2880" w:hanging="360"/>
      </w:pPr>
      <w:rPr>
        <w:rFonts w:ascii="Symbol" w:hAnsi="Symbol" w:hint="default"/>
      </w:rPr>
    </w:lvl>
    <w:lvl w:ilvl="4" w:tplc="4C18B126">
      <w:start w:val="1"/>
      <w:numFmt w:val="bullet"/>
      <w:lvlText w:val="o"/>
      <w:lvlJc w:val="left"/>
      <w:pPr>
        <w:ind w:left="3600" w:hanging="360"/>
      </w:pPr>
      <w:rPr>
        <w:rFonts w:ascii="Courier New" w:hAnsi="Courier New" w:cs="Times New Roman" w:hint="default"/>
      </w:rPr>
    </w:lvl>
    <w:lvl w:ilvl="5" w:tplc="8D58D5CE">
      <w:start w:val="1"/>
      <w:numFmt w:val="bullet"/>
      <w:lvlText w:val=""/>
      <w:lvlJc w:val="left"/>
      <w:pPr>
        <w:ind w:left="4320" w:hanging="360"/>
      </w:pPr>
      <w:rPr>
        <w:rFonts w:ascii="Wingdings" w:hAnsi="Wingdings" w:hint="default"/>
      </w:rPr>
    </w:lvl>
    <w:lvl w:ilvl="6" w:tplc="D506E8BA">
      <w:start w:val="1"/>
      <w:numFmt w:val="bullet"/>
      <w:lvlText w:val=""/>
      <w:lvlJc w:val="left"/>
      <w:pPr>
        <w:ind w:left="5040" w:hanging="360"/>
      </w:pPr>
      <w:rPr>
        <w:rFonts w:ascii="Symbol" w:hAnsi="Symbol" w:hint="default"/>
      </w:rPr>
    </w:lvl>
    <w:lvl w:ilvl="7" w:tplc="A8FC65C2">
      <w:start w:val="1"/>
      <w:numFmt w:val="bullet"/>
      <w:lvlText w:val="o"/>
      <w:lvlJc w:val="left"/>
      <w:pPr>
        <w:ind w:left="5760" w:hanging="360"/>
      </w:pPr>
      <w:rPr>
        <w:rFonts w:ascii="Courier New" w:hAnsi="Courier New" w:cs="Times New Roman" w:hint="default"/>
      </w:rPr>
    </w:lvl>
    <w:lvl w:ilvl="8" w:tplc="64545E8E">
      <w:start w:val="1"/>
      <w:numFmt w:val="bullet"/>
      <w:lvlText w:val=""/>
      <w:lvlJc w:val="left"/>
      <w:pPr>
        <w:ind w:left="6480" w:hanging="360"/>
      </w:pPr>
      <w:rPr>
        <w:rFonts w:ascii="Wingdings" w:hAnsi="Wingdings" w:hint="default"/>
      </w:rPr>
    </w:lvl>
  </w:abstractNum>
  <w:abstractNum w:abstractNumId="22"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AE0B6B"/>
    <w:multiLevelType w:val="multilevel"/>
    <w:tmpl w:val="8DECF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9FCA55"/>
    <w:multiLevelType w:val="hybridMultilevel"/>
    <w:tmpl w:val="0AD4DE74"/>
    <w:lvl w:ilvl="0" w:tplc="ABC67F9C">
      <w:start w:val="1"/>
      <w:numFmt w:val="bullet"/>
      <w:lvlText w:val=""/>
      <w:lvlJc w:val="left"/>
      <w:pPr>
        <w:ind w:left="720" w:hanging="360"/>
      </w:pPr>
      <w:rPr>
        <w:rFonts w:ascii="Symbol" w:hAnsi="Symbol" w:hint="default"/>
      </w:rPr>
    </w:lvl>
    <w:lvl w:ilvl="1" w:tplc="01A0D3D4">
      <w:start w:val="1"/>
      <w:numFmt w:val="bullet"/>
      <w:lvlText w:val="o"/>
      <w:lvlJc w:val="left"/>
      <w:pPr>
        <w:ind w:left="1440" w:hanging="360"/>
      </w:pPr>
      <w:rPr>
        <w:rFonts w:ascii="Courier New" w:hAnsi="Courier New" w:cs="Times New Roman" w:hint="default"/>
      </w:rPr>
    </w:lvl>
    <w:lvl w:ilvl="2" w:tplc="FBEC1150">
      <w:start w:val="1"/>
      <w:numFmt w:val="bullet"/>
      <w:lvlText w:val=""/>
      <w:lvlJc w:val="left"/>
      <w:pPr>
        <w:ind w:left="2160" w:hanging="360"/>
      </w:pPr>
      <w:rPr>
        <w:rFonts w:ascii="Wingdings" w:hAnsi="Wingdings" w:hint="default"/>
      </w:rPr>
    </w:lvl>
    <w:lvl w:ilvl="3" w:tplc="82C422A8">
      <w:start w:val="1"/>
      <w:numFmt w:val="bullet"/>
      <w:lvlText w:val=""/>
      <w:lvlJc w:val="left"/>
      <w:pPr>
        <w:ind w:left="2880" w:hanging="360"/>
      </w:pPr>
      <w:rPr>
        <w:rFonts w:ascii="Symbol" w:hAnsi="Symbol" w:hint="default"/>
      </w:rPr>
    </w:lvl>
    <w:lvl w:ilvl="4" w:tplc="D47E6DD4">
      <w:start w:val="1"/>
      <w:numFmt w:val="bullet"/>
      <w:lvlText w:val="o"/>
      <w:lvlJc w:val="left"/>
      <w:pPr>
        <w:ind w:left="3600" w:hanging="360"/>
      </w:pPr>
      <w:rPr>
        <w:rFonts w:ascii="Courier New" w:hAnsi="Courier New" w:cs="Times New Roman" w:hint="default"/>
      </w:rPr>
    </w:lvl>
    <w:lvl w:ilvl="5" w:tplc="D0F83764">
      <w:start w:val="1"/>
      <w:numFmt w:val="bullet"/>
      <w:lvlText w:val=""/>
      <w:lvlJc w:val="left"/>
      <w:pPr>
        <w:ind w:left="4320" w:hanging="360"/>
      </w:pPr>
      <w:rPr>
        <w:rFonts w:ascii="Wingdings" w:hAnsi="Wingdings" w:hint="default"/>
      </w:rPr>
    </w:lvl>
    <w:lvl w:ilvl="6" w:tplc="65B89E7A">
      <w:start w:val="1"/>
      <w:numFmt w:val="bullet"/>
      <w:lvlText w:val=""/>
      <w:lvlJc w:val="left"/>
      <w:pPr>
        <w:ind w:left="5040" w:hanging="360"/>
      </w:pPr>
      <w:rPr>
        <w:rFonts w:ascii="Symbol" w:hAnsi="Symbol" w:hint="default"/>
      </w:rPr>
    </w:lvl>
    <w:lvl w:ilvl="7" w:tplc="43EACB06">
      <w:start w:val="1"/>
      <w:numFmt w:val="bullet"/>
      <w:lvlText w:val="o"/>
      <w:lvlJc w:val="left"/>
      <w:pPr>
        <w:ind w:left="5760" w:hanging="360"/>
      </w:pPr>
      <w:rPr>
        <w:rFonts w:ascii="Courier New" w:hAnsi="Courier New" w:cs="Times New Roman" w:hint="default"/>
      </w:rPr>
    </w:lvl>
    <w:lvl w:ilvl="8" w:tplc="626E6EA0">
      <w:start w:val="1"/>
      <w:numFmt w:val="bullet"/>
      <w:lvlText w:val=""/>
      <w:lvlJc w:val="left"/>
      <w:pPr>
        <w:ind w:left="6480" w:hanging="360"/>
      </w:pPr>
      <w:rPr>
        <w:rFonts w:ascii="Wingdings" w:hAnsi="Wingdings" w:hint="default"/>
      </w:rPr>
    </w:lvl>
  </w:abstractNum>
  <w:abstractNum w:abstractNumId="30" w15:restartNumberingAfterBreak="0">
    <w:nsid w:val="7AD45F2D"/>
    <w:multiLevelType w:val="hybridMultilevel"/>
    <w:tmpl w:val="F87EA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514491">
    <w:abstractNumId w:val="19"/>
  </w:num>
  <w:num w:numId="2" w16cid:durableId="2045934090">
    <w:abstractNumId w:val="7"/>
  </w:num>
  <w:num w:numId="3" w16cid:durableId="720203329">
    <w:abstractNumId w:val="26"/>
  </w:num>
  <w:num w:numId="4" w16cid:durableId="1154296620">
    <w:abstractNumId w:val="8"/>
  </w:num>
  <w:num w:numId="5" w16cid:durableId="674842477">
    <w:abstractNumId w:val="22"/>
  </w:num>
  <w:num w:numId="6" w16cid:durableId="1654676099">
    <w:abstractNumId w:val="0"/>
  </w:num>
  <w:num w:numId="7" w16cid:durableId="380177225">
    <w:abstractNumId w:val="16"/>
  </w:num>
  <w:num w:numId="8" w16cid:durableId="1790659448">
    <w:abstractNumId w:val="24"/>
  </w:num>
  <w:num w:numId="9" w16cid:durableId="2023360628">
    <w:abstractNumId w:val="9"/>
  </w:num>
  <w:num w:numId="10" w16cid:durableId="945383897">
    <w:abstractNumId w:val="28"/>
  </w:num>
  <w:num w:numId="11" w16cid:durableId="1066486991">
    <w:abstractNumId w:val="23"/>
  </w:num>
  <w:num w:numId="12" w16cid:durableId="537666982">
    <w:abstractNumId w:val="12"/>
  </w:num>
  <w:num w:numId="13" w16cid:durableId="1328553811">
    <w:abstractNumId w:val="4"/>
  </w:num>
  <w:num w:numId="14" w16cid:durableId="465241123">
    <w:abstractNumId w:val="6"/>
  </w:num>
  <w:num w:numId="15" w16cid:durableId="4210165">
    <w:abstractNumId w:val="2"/>
  </w:num>
  <w:num w:numId="16" w16cid:durableId="401412942">
    <w:abstractNumId w:val="17"/>
  </w:num>
  <w:num w:numId="17" w16cid:durableId="849681087">
    <w:abstractNumId w:val="18"/>
  </w:num>
  <w:num w:numId="18" w16cid:durableId="1773356266">
    <w:abstractNumId w:val="11"/>
  </w:num>
  <w:num w:numId="19" w16cid:durableId="1912933289">
    <w:abstractNumId w:val="18"/>
  </w:num>
  <w:num w:numId="20" w16cid:durableId="1890262505">
    <w:abstractNumId w:val="11"/>
  </w:num>
  <w:num w:numId="21" w16cid:durableId="725763686">
    <w:abstractNumId w:val="27"/>
  </w:num>
  <w:num w:numId="22" w16cid:durableId="1213494031">
    <w:abstractNumId w:val="13"/>
  </w:num>
  <w:num w:numId="23" w16cid:durableId="1521965290">
    <w:abstractNumId w:val="15"/>
  </w:num>
  <w:num w:numId="24" w16cid:durableId="1440101188">
    <w:abstractNumId w:val="25"/>
  </w:num>
  <w:num w:numId="25" w16cid:durableId="1673799160">
    <w:abstractNumId w:val="29"/>
  </w:num>
  <w:num w:numId="26" w16cid:durableId="1652634261">
    <w:abstractNumId w:val="21"/>
  </w:num>
  <w:num w:numId="27" w16cid:durableId="908534611">
    <w:abstractNumId w:val="3"/>
  </w:num>
  <w:num w:numId="28" w16cid:durableId="1893156682">
    <w:abstractNumId w:val="10"/>
  </w:num>
  <w:num w:numId="29" w16cid:durableId="440491319">
    <w:abstractNumId w:val="1"/>
  </w:num>
  <w:num w:numId="30" w16cid:durableId="1186988537">
    <w:abstractNumId w:val="14"/>
  </w:num>
  <w:num w:numId="31" w16cid:durableId="409811907">
    <w:abstractNumId w:val="30"/>
  </w:num>
  <w:num w:numId="32" w16cid:durableId="1403793538">
    <w:abstractNumId w:val="20"/>
  </w:num>
  <w:num w:numId="33" w16cid:durableId="1751732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1495"/>
    <w:rsid w:val="0000555A"/>
    <w:rsid w:val="00007360"/>
    <w:rsid w:val="00010C70"/>
    <w:rsid w:val="00025774"/>
    <w:rsid w:val="00034045"/>
    <w:rsid w:val="0004055C"/>
    <w:rsid w:val="00045066"/>
    <w:rsid w:val="000525F3"/>
    <w:rsid w:val="00062372"/>
    <w:rsid w:val="00071C2D"/>
    <w:rsid w:val="00072D34"/>
    <w:rsid w:val="0007398E"/>
    <w:rsid w:val="00075F17"/>
    <w:rsid w:val="00081413"/>
    <w:rsid w:val="000A3154"/>
    <w:rsid w:val="000B7860"/>
    <w:rsid w:val="000C0E2B"/>
    <w:rsid w:val="000C2FD6"/>
    <w:rsid w:val="000C4359"/>
    <w:rsid w:val="000C6EEA"/>
    <w:rsid w:val="000C6FCC"/>
    <w:rsid w:val="000D575C"/>
    <w:rsid w:val="000E6137"/>
    <w:rsid w:val="000F0353"/>
    <w:rsid w:val="000F04EC"/>
    <w:rsid w:val="000F2BE9"/>
    <w:rsid w:val="001053B6"/>
    <w:rsid w:val="00107A91"/>
    <w:rsid w:val="00115AFB"/>
    <w:rsid w:val="00116519"/>
    <w:rsid w:val="0012701E"/>
    <w:rsid w:val="00133C16"/>
    <w:rsid w:val="00134EB4"/>
    <w:rsid w:val="0013612C"/>
    <w:rsid w:val="00151790"/>
    <w:rsid w:val="00170595"/>
    <w:rsid w:val="00170C2F"/>
    <w:rsid w:val="00174174"/>
    <w:rsid w:val="00176A6C"/>
    <w:rsid w:val="00177EAB"/>
    <w:rsid w:val="00187099"/>
    <w:rsid w:val="00190356"/>
    <w:rsid w:val="001963EB"/>
    <w:rsid w:val="00196742"/>
    <w:rsid w:val="00197DBC"/>
    <w:rsid w:val="001A5DEE"/>
    <w:rsid w:val="001A6B8C"/>
    <w:rsid w:val="001B4E81"/>
    <w:rsid w:val="001C1DE2"/>
    <w:rsid w:val="001D0DAB"/>
    <w:rsid w:val="001F50DA"/>
    <w:rsid w:val="00215C3F"/>
    <w:rsid w:val="002313DF"/>
    <w:rsid w:val="00232556"/>
    <w:rsid w:val="00232DEA"/>
    <w:rsid w:val="00235F12"/>
    <w:rsid w:val="002464BC"/>
    <w:rsid w:val="00247C64"/>
    <w:rsid w:val="0025093F"/>
    <w:rsid w:val="00251AF3"/>
    <w:rsid w:val="00254090"/>
    <w:rsid w:val="00257079"/>
    <w:rsid w:val="00267854"/>
    <w:rsid w:val="0027009C"/>
    <w:rsid w:val="00272095"/>
    <w:rsid w:val="00286751"/>
    <w:rsid w:val="0029684B"/>
    <w:rsid w:val="002A60D8"/>
    <w:rsid w:val="002B26EA"/>
    <w:rsid w:val="002B27E5"/>
    <w:rsid w:val="002B3EBC"/>
    <w:rsid w:val="00302655"/>
    <w:rsid w:val="00302980"/>
    <w:rsid w:val="00304698"/>
    <w:rsid w:val="00310162"/>
    <w:rsid w:val="003165E8"/>
    <w:rsid w:val="00322467"/>
    <w:rsid w:val="00327F6D"/>
    <w:rsid w:val="003307E4"/>
    <w:rsid w:val="00330C30"/>
    <w:rsid w:val="00334058"/>
    <w:rsid w:val="00340F6F"/>
    <w:rsid w:val="0034616B"/>
    <w:rsid w:val="003515F9"/>
    <w:rsid w:val="00361485"/>
    <w:rsid w:val="00361AAE"/>
    <w:rsid w:val="00362320"/>
    <w:rsid w:val="00371A9F"/>
    <w:rsid w:val="003731E2"/>
    <w:rsid w:val="00374214"/>
    <w:rsid w:val="00377F51"/>
    <w:rsid w:val="00380792"/>
    <w:rsid w:val="00382BC3"/>
    <w:rsid w:val="003912C3"/>
    <w:rsid w:val="00391740"/>
    <w:rsid w:val="003A2046"/>
    <w:rsid w:val="003A5806"/>
    <w:rsid w:val="003D21EB"/>
    <w:rsid w:val="003D3A4B"/>
    <w:rsid w:val="003D774F"/>
    <w:rsid w:val="003E4A49"/>
    <w:rsid w:val="003E5F5E"/>
    <w:rsid w:val="003E6828"/>
    <w:rsid w:val="003F5E55"/>
    <w:rsid w:val="00406BE3"/>
    <w:rsid w:val="00415088"/>
    <w:rsid w:val="004166BC"/>
    <w:rsid w:val="0042361F"/>
    <w:rsid w:val="00424321"/>
    <w:rsid w:val="00430264"/>
    <w:rsid w:val="00441C5E"/>
    <w:rsid w:val="00442D06"/>
    <w:rsid w:val="00446B8D"/>
    <w:rsid w:val="00471CFB"/>
    <w:rsid w:val="00483EAE"/>
    <w:rsid w:val="00490162"/>
    <w:rsid w:val="00492208"/>
    <w:rsid w:val="00494952"/>
    <w:rsid w:val="004B5D50"/>
    <w:rsid w:val="004B607F"/>
    <w:rsid w:val="004B6C2E"/>
    <w:rsid w:val="004B6E4C"/>
    <w:rsid w:val="004C152B"/>
    <w:rsid w:val="004C5163"/>
    <w:rsid w:val="004E3346"/>
    <w:rsid w:val="004F13DF"/>
    <w:rsid w:val="004F7065"/>
    <w:rsid w:val="004F7CC6"/>
    <w:rsid w:val="00502055"/>
    <w:rsid w:val="00505C05"/>
    <w:rsid w:val="005201FA"/>
    <w:rsid w:val="005234FE"/>
    <w:rsid w:val="005236D8"/>
    <w:rsid w:val="00533B46"/>
    <w:rsid w:val="005349D7"/>
    <w:rsid w:val="00544058"/>
    <w:rsid w:val="00552CC1"/>
    <w:rsid w:val="00552E3F"/>
    <w:rsid w:val="0055772E"/>
    <w:rsid w:val="00570401"/>
    <w:rsid w:val="005740FB"/>
    <w:rsid w:val="0059623D"/>
    <w:rsid w:val="005D6983"/>
    <w:rsid w:val="005E0602"/>
    <w:rsid w:val="005F20C3"/>
    <w:rsid w:val="005F5155"/>
    <w:rsid w:val="006020E3"/>
    <w:rsid w:val="00602D78"/>
    <w:rsid w:val="006113E3"/>
    <w:rsid w:val="00634149"/>
    <w:rsid w:val="00651DD6"/>
    <w:rsid w:val="00654AA4"/>
    <w:rsid w:val="006657F6"/>
    <w:rsid w:val="00692230"/>
    <w:rsid w:val="00692BEF"/>
    <w:rsid w:val="00695059"/>
    <w:rsid w:val="00697DEE"/>
    <w:rsid w:val="006C4FD6"/>
    <w:rsid w:val="006C6B49"/>
    <w:rsid w:val="006C70C7"/>
    <w:rsid w:val="006D030D"/>
    <w:rsid w:val="006D0B43"/>
    <w:rsid w:val="006D4E3F"/>
    <w:rsid w:val="006D6770"/>
    <w:rsid w:val="006E5E51"/>
    <w:rsid w:val="006F1C6F"/>
    <w:rsid w:val="007049EA"/>
    <w:rsid w:val="007115D6"/>
    <w:rsid w:val="007134F8"/>
    <w:rsid w:val="007241A2"/>
    <w:rsid w:val="00733E86"/>
    <w:rsid w:val="00756CF6"/>
    <w:rsid w:val="00764C7C"/>
    <w:rsid w:val="007711BA"/>
    <w:rsid w:val="00773073"/>
    <w:rsid w:val="0078159D"/>
    <w:rsid w:val="00794DA9"/>
    <w:rsid w:val="007A6C85"/>
    <w:rsid w:val="007B4186"/>
    <w:rsid w:val="007B5CBE"/>
    <w:rsid w:val="007C4538"/>
    <w:rsid w:val="007D0BFA"/>
    <w:rsid w:val="007D71E8"/>
    <w:rsid w:val="007F5F4E"/>
    <w:rsid w:val="008009C2"/>
    <w:rsid w:val="00812E52"/>
    <w:rsid w:val="00816E1F"/>
    <w:rsid w:val="00827C7A"/>
    <w:rsid w:val="00840E4C"/>
    <w:rsid w:val="008412C0"/>
    <w:rsid w:val="00842017"/>
    <w:rsid w:val="00857EA7"/>
    <w:rsid w:val="00861B5E"/>
    <w:rsid w:val="0086562F"/>
    <w:rsid w:val="00875A27"/>
    <w:rsid w:val="00877B7C"/>
    <w:rsid w:val="008855B8"/>
    <w:rsid w:val="00887CC7"/>
    <w:rsid w:val="00891D8F"/>
    <w:rsid w:val="00895B61"/>
    <w:rsid w:val="0089758D"/>
    <w:rsid w:val="008A2121"/>
    <w:rsid w:val="008A3E29"/>
    <w:rsid w:val="008A5BBD"/>
    <w:rsid w:val="008B2543"/>
    <w:rsid w:val="008C56EA"/>
    <w:rsid w:val="008D40B3"/>
    <w:rsid w:val="008D4FB8"/>
    <w:rsid w:val="008E0092"/>
    <w:rsid w:val="008E369B"/>
    <w:rsid w:val="008E6096"/>
    <w:rsid w:val="008E62A0"/>
    <w:rsid w:val="008E657B"/>
    <w:rsid w:val="008F12D8"/>
    <w:rsid w:val="008F2EC4"/>
    <w:rsid w:val="008F65F2"/>
    <w:rsid w:val="00900591"/>
    <w:rsid w:val="00905993"/>
    <w:rsid w:val="00906A69"/>
    <w:rsid w:val="009222FB"/>
    <w:rsid w:val="0092738E"/>
    <w:rsid w:val="009309D6"/>
    <w:rsid w:val="00933287"/>
    <w:rsid w:val="00935CE8"/>
    <w:rsid w:val="00943475"/>
    <w:rsid w:val="0095758E"/>
    <w:rsid w:val="0097290E"/>
    <w:rsid w:val="00981DF4"/>
    <w:rsid w:val="0098382C"/>
    <w:rsid w:val="0098389F"/>
    <w:rsid w:val="0098663E"/>
    <w:rsid w:val="00997945"/>
    <w:rsid w:val="009A56F1"/>
    <w:rsid w:val="009B57E2"/>
    <w:rsid w:val="009B67FF"/>
    <w:rsid w:val="009B7F26"/>
    <w:rsid w:val="009C67A9"/>
    <w:rsid w:val="009D3D76"/>
    <w:rsid w:val="009D459A"/>
    <w:rsid w:val="009E4658"/>
    <w:rsid w:val="00A04DFB"/>
    <w:rsid w:val="00A10AB8"/>
    <w:rsid w:val="00A10CAF"/>
    <w:rsid w:val="00A160DB"/>
    <w:rsid w:val="00A20DA9"/>
    <w:rsid w:val="00A215AA"/>
    <w:rsid w:val="00A40329"/>
    <w:rsid w:val="00A412E9"/>
    <w:rsid w:val="00A552F2"/>
    <w:rsid w:val="00A7150C"/>
    <w:rsid w:val="00A8138D"/>
    <w:rsid w:val="00A8143F"/>
    <w:rsid w:val="00A868B6"/>
    <w:rsid w:val="00A86E49"/>
    <w:rsid w:val="00A96BB0"/>
    <w:rsid w:val="00AB3E78"/>
    <w:rsid w:val="00AB5987"/>
    <w:rsid w:val="00AC14A9"/>
    <w:rsid w:val="00AD0E2F"/>
    <w:rsid w:val="00AD4900"/>
    <w:rsid w:val="00AD7104"/>
    <w:rsid w:val="00AD7D20"/>
    <w:rsid w:val="00AE4C37"/>
    <w:rsid w:val="00AF40AE"/>
    <w:rsid w:val="00B029D2"/>
    <w:rsid w:val="00B061A8"/>
    <w:rsid w:val="00B12900"/>
    <w:rsid w:val="00B223FD"/>
    <w:rsid w:val="00B30428"/>
    <w:rsid w:val="00B35C57"/>
    <w:rsid w:val="00B4681A"/>
    <w:rsid w:val="00B5660B"/>
    <w:rsid w:val="00B70ADD"/>
    <w:rsid w:val="00B77CF5"/>
    <w:rsid w:val="00B81C54"/>
    <w:rsid w:val="00B9175B"/>
    <w:rsid w:val="00B9520F"/>
    <w:rsid w:val="00BA329A"/>
    <w:rsid w:val="00BA4459"/>
    <w:rsid w:val="00BA67D5"/>
    <w:rsid w:val="00BB05C3"/>
    <w:rsid w:val="00BB3B8B"/>
    <w:rsid w:val="00BB55E3"/>
    <w:rsid w:val="00BC4341"/>
    <w:rsid w:val="00BF230B"/>
    <w:rsid w:val="00C01174"/>
    <w:rsid w:val="00C045F2"/>
    <w:rsid w:val="00C10293"/>
    <w:rsid w:val="00C17057"/>
    <w:rsid w:val="00C26776"/>
    <w:rsid w:val="00C4008D"/>
    <w:rsid w:val="00C4124A"/>
    <w:rsid w:val="00C57090"/>
    <w:rsid w:val="00C71EE3"/>
    <w:rsid w:val="00C77C64"/>
    <w:rsid w:val="00C8640B"/>
    <w:rsid w:val="00C8659C"/>
    <w:rsid w:val="00C902BD"/>
    <w:rsid w:val="00CA340E"/>
    <w:rsid w:val="00CB79CE"/>
    <w:rsid w:val="00CD28AF"/>
    <w:rsid w:val="00CD69BC"/>
    <w:rsid w:val="00CE499F"/>
    <w:rsid w:val="00CE5DB2"/>
    <w:rsid w:val="00CF1A58"/>
    <w:rsid w:val="00CF4A29"/>
    <w:rsid w:val="00CF6C14"/>
    <w:rsid w:val="00D03932"/>
    <w:rsid w:val="00D1350E"/>
    <w:rsid w:val="00D14BAB"/>
    <w:rsid w:val="00D56AE3"/>
    <w:rsid w:val="00D717C5"/>
    <w:rsid w:val="00D72E12"/>
    <w:rsid w:val="00D815A2"/>
    <w:rsid w:val="00D83F9B"/>
    <w:rsid w:val="00D859CA"/>
    <w:rsid w:val="00D9011A"/>
    <w:rsid w:val="00D91F14"/>
    <w:rsid w:val="00DB088B"/>
    <w:rsid w:val="00DB0DF9"/>
    <w:rsid w:val="00DB196B"/>
    <w:rsid w:val="00DC1702"/>
    <w:rsid w:val="00DF0863"/>
    <w:rsid w:val="00DF0C23"/>
    <w:rsid w:val="00DF3536"/>
    <w:rsid w:val="00DF3FE6"/>
    <w:rsid w:val="00DF4C83"/>
    <w:rsid w:val="00E01913"/>
    <w:rsid w:val="00E03FB7"/>
    <w:rsid w:val="00E14B44"/>
    <w:rsid w:val="00E27473"/>
    <w:rsid w:val="00E279C3"/>
    <w:rsid w:val="00E35CE4"/>
    <w:rsid w:val="00E40AC3"/>
    <w:rsid w:val="00E703B5"/>
    <w:rsid w:val="00E73E52"/>
    <w:rsid w:val="00E96AD5"/>
    <w:rsid w:val="00EA646C"/>
    <w:rsid w:val="00EC12C2"/>
    <w:rsid w:val="00EC1D3E"/>
    <w:rsid w:val="00ED67E0"/>
    <w:rsid w:val="00EE03C4"/>
    <w:rsid w:val="00EE6841"/>
    <w:rsid w:val="00EE7615"/>
    <w:rsid w:val="00F105F0"/>
    <w:rsid w:val="00F20872"/>
    <w:rsid w:val="00F20F8B"/>
    <w:rsid w:val="00F25FA7"/>
    <w:rsid w:val="00F26A19"/>
    <w:rsid w:val="00F36879"/>
    <w:rsid w:val="00F4104D"/>
    <w:rsid w:val="00F45B98"/>
    <w:rsid w:val="00F5027A"/>
    <w:rsid w:val="00F61A77"/>
    <w:rsid w:val="00F77269"/>
    <w:rsid w:val="00FB3717"/>
    <w:rsid w:val="00FB43FD"/>
    <w:rsid w:val="00FB71E9"/>
    <w:rsid w:val="00FC08E9"/>
    <w:rsid w:val="00FC3EE1"/>
    <w:rsid w:val="00FC74EF"/>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msolistparagraph">
    <w:name w:val="x_msolistparagraph"/>
    <w:basedOn w:val="Normal"/>
    <w:rsid w:val="001963EB"/>
    <w:pPr>
      <w:spacing w:after="0" w:line="240" w:lineRule="auto"/>
      <w:ind w:left="720"/>
    </w:pPr>
    <w:rPr>
      <w:rFonts w:ascii="Calibri" w:hAnsi="Calibri" w:cs="Calibri"/>
      <w:lang w:eastAsia="en-GB"/>
    </w:rPr>
  </w:style>
  <w:style w:type="character" w:customStyle="1" w:styleId="mark4cuvuve1g">
    <w:name w:val="mark4cuvuve1g"/>
    <w:basedOn w:val="DefaultParagraphFont"/>
    <w:rsid w:val="001963EB"/>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1963EB"/>
  </w:style>
  <w:style w:type="paragraph" w:styleId="Revision">
    <w:name w:val="Revision"/>
    <w:hidden/>
    <w:uiPriority w:val="99"/>
    <w:semiHidden/>
    <w:rsid w:val="00B77C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3547">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48521481">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6501467">
      <w:bodyDiv w:val="1"/>
      <w:marLeft w:val="0"/>
      <w:marRight w:val="0"/>
      <w:marTop w:val="0"/>
      <w:marBottom w:val="0"/>
      <w:divBdr>
        <w:top w:val="none" w:sz="0" w:space="0" w:color="auto"/>
        <w:left w:val="none" w:sz="0" w:space="0" w:color="auto"/>
        <w:bottom w:val="none" w:sz="0" w:space="0" w:color="auto"/>
        <w:right w:val="none" w:sz="0" w:space="0" w:color="auto"/>
      </w:divBdr>
    </w:div>
    <w:div w:id="345785885">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79886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90492035">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05504312">
      <w:bodyDiv w:val="1"/>
      <w:marLeft w:val="0"/>
      <w:marRight w:val="0"/>
      <w:marTop w:val="0"/>
      <w:marBottom w:val="0"/>
      <w:divBdr>
        <w:top w:val="none" w:sz="0" w:space="0" w:color="auto"/>
        <w:left w:val="none" w:sz="0" w:space="0" w:color="auto"/>
        <w:bottom w:val="none" w:sz="0" w:space="0" w:color="auto"/>
        <w:right w:val="none" w:sz="0" w:space="0" w:color="auto"/>
      </w:divBdr>
    </w:div>
    <w:div w:id="635262585">
      <w:bodyDiv w:val="1"/>
      <w:marLeft w:val="0"/>
      <w:marRight w:val="0"/>
      <w:marTop w:val="0"/>
      <w:marBottom w:val="0"/>
      <w:divBdr>
        <w:top w:val="none" w:sz="0" w:space="0" w:color="auto"/>
        <w:left w:val="none" w:sz="0" w:space="0" w:color="auto"/>
        <w:bottom w:val="none" w:sz="0" w:space="0" w:color="auto"/>
        <w:right w:val="none" w:sz="0" w:space="0" w:color="auto"/>
      </w:divBdr>
    </w:div>
    <w:div w:id="644117024">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12579136">
      <w:bodyDiv w:val="1"/>
      <w:marLeft w:val="0"/>
      <w:marRight w:val="0"/>
      <w:marTop w:val="0"/>
      <w:marBottom w:val="0"/>
      <w:divBdr>
        <w:top w:val="none" w:sz="0" w:space="0" w:color="auto"/>
        <w:left w:val="none" w:sz="0" w:space="0" w:color="auto"/>
        <w:bottom w:val="none" w:sz="0" w:space="0" w:color="auto"/>
        <w:right w:val="none" w:sz="0" w:space="0" w:color="auto"/>
      </w:divBdr>
    </w:div>
    <w:div w:id="713895980">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6489461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70542466">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8962197">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55288102">
      <w:bodyDiv w:val="1"/>
      <w:marLeft w:val="0"/>
      <w:marRight w:val="0"/>
      <w:marTop w:val="0"/>
      <w:marBottom w:val="0"/>
      <w:divBdr>
        <w:top w:val="none" w:sz="0" w:space="0" w:color="auto"/>
        <w:left w:val="none" w:sz="0" w:space="0" w:color="auto"/>
        <w:bottom w:val="none" w:sz="0" w:space="0" w:color="auto"/>
        <w:right w:val="none" w:sz="0" w:space="0" w:color="auto"/>
      </w:divBdr>
    </w:div>
    <w:div w:id="126152849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97612884">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7410333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25285385">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51979853">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98584095">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761992">
      <w:bodyDiv w:val="1"/>
      <w:marLeft w:val="0"/>
      <w:marRight w:val="0"/>
      <w:marTop w:val="0"/>
      <w:marBottom w:val="0"/>
      <w:divBdr>
        <w:top w:val="none" w:sz="0" w:space="0" w:color="auto"/>
        <w:left w:val="none" w:sz="0" w:space="0" w:color="auto"/>
        <w:bottom w:val="none" w:sz="0" w:space="0" w:color="auto"/>
        <w:right w:val="none" w:sz="0" w:space="0" w:color="auto"/>
      </w:divBdr>
    </w:div>
    <w:div w:id="1802919881">
      <w:bodyDiv w:val="1"/>
      <w:marLeft w:val="0"/>
      <w:marRight w:val="0"/>
      <w:marTop w:val="0"/>
      <w:marBottom w:val="0"/>
      <w:divBdr>
        <w:top w:val="none" w:sz="0" w:space="0" w:color="auto"/>
        <w:left w:val="none" w:sz="0" w:space="0" w:color="auto"/>
        <w:bottom w:val="none" w:sz="0" w:space="0" w:color="auto"/>
        <w:right w:val="none" w:sz="0" w:space="0" w:color="auto"/>
      </w:divBdr>
    </w:div>
    <w:div w:id="1807163432">
      <w:bodyDiv w:val="1"/>
      <w:marLeft w:val="0"/>
      <w:marRight w:val="0"/>
      <w:marTop w:val="0"/>
      <w:marBottom w:val="0"/>
      <w:divBdr>
        <w:top w:val="none" w:sz="0" w:space="0" w:color="auto"/>
        <w:left w:val="none" w:sz="0" w:space="0" w:color="auto"/>
        <w:bottom w:val="none" w:sz="0" w:space="0" w:color="auto"/>
        <w:right w:val="none" w:sz="0" w:space="0" w:color="auto"/>
      </w:divBdr>
    </w:div>
    <w:div w:id="1811168910">
      <w:bodyDiv w:val="1"/>
      <w:marLeft w:val="0"/>
      <w:marRight w:val="0"/>
      <w:marTop w:val="0"/>
      <w:marBottom w:val="0"/>
      <w:divBdr>
        <w:top w:val="none" w:sz="0" w:space="0" w:color="auto"/>
        <w:left w:val="none" w:sz="0" w:space="0" w:color="auto"/>
        <w:bottom w:val="none" w:sz="0" w:space="0" w:color="auto"/>
        <w:right w:val="none" w:sz="0" w:space="0" w:color="auto"/>
      </w:divBdr>
    </w:div>
    <w:div w:id="1827167746">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46094640">
      <w:bodyDiv w:val="1"/>
      <w:marLeft w:val="0"/>
      <w:marRight w:val="0"/>
      <w:marTop w:val="0"/>
      <w:marBottom w:val="0"/>
      <w:divBdr>
        <w:top w:val="none" w:sz="0" w:space="0" w:color="auto"/>
        <w:left w:val="none" w:sz="0" w:space="0" w:color="auto"/>
        <w:bottom w:val="none" w:sz="0" w:space="0" w:color="auto"/>
        <w:right w:val="none" w:sz="0" w:space="0" w:color="auto"/>
      </w:divBdr>
    </w:div>
    <w:div w:id="1849563142">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1593210">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88239424">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10699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8a03a50b54&amp;e=e656ee1255" TargetMode="External"/><Relationship Id="rId18" Type="http://schemas.openxmlformats.org/officeDocument/2006/relationships/hyperlink" Target="https://mcusercontent.com/fc496e37a02fff5979483df7e/files/64944059-ce3e-4e0e-7196-654f886e92e4/GP2GP.pdf" TargetMode="External"/><Relationship Id="rId26" Type="http://schemas.openxmlformats.org/officeDocument/2006/relationships/hyperlink" Target="mailto:support@bma.org.uk" TargetMode="External"/><Relationship Id="rId3" Type="http://schemas.openxmlformats.org/officeDocument/2006/relationships/customXml" Target="../customXml/item3.xml"/><Relationship Id="rId21" Type="http://schemas.openxmlformats.org/officeDocument/2006/relationships/hyperlink" Target="https://www.bma.org.uk/bma-media-centre/bma-offers-deepest-condolences-to-family-of-surrey-gp-dr-gail-milliga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nhs.us5.list-manage.com/track/click?u=fc496e37a02fff5979483df7e&amp;id=3984c8d945&amp;e=e656ee1255" TargetMode="External"/><Relationship Id="rId17" Type="http://schemas.openxmlformats.org/officeDocument/2006/relationships/hyperlink" Target="https://pcsengland.co.uk/cv/d7e5a9be2845cb5ceca75320542eb019352e8953" TargetMode="External"/><Relationship Id="rId25" Type="http://schemas.openxmlformats.org/officeDocument/2006/relationships/hyperlink" Target="tel:0330%20123%20124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csengland.co.uk/cv/19e30490c709866f17d412a35acf2409453b449c" TargetMode="External"/><Relationship Id="rId20" Type="http://schemas.openxmlformats.org/officeDocument/2006/relationships/hyperlink" Target="https://primarycarebulletin.cmail20.com/t/d-l-fhhirdl-tluhhdhyld-b/" TargetMode="External"/><Relationship Id="rId29"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ma.org.uk/bma-media-centre/bma-offers-deepest-condolences-to-family-of-surrey-gp-dr-gail-milligan" TargetMode="External"/><Relationship Id="rId24" Type="http://schemas.openxmlformats.org/officeDocument/2006/relationships/hyperlink" Target="https://www.bma.org.uk/advice-and-support/your-wellbeing/wellbeing-support-services/sources-of-support-for-your-wellbeing"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ngland.nhs.uk/gp/investment/gp-contract/general-practice-pay-transparency/" TargetMode="External"/><Relationship Id="rId23" Type="http://schemas.openxmlformats.org/officeDocument/2006/relationships/hyperlink" Target="https://www.samaritans.org/" TargetMode="External"/><Relationship Id="rId28"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yperlink" Target="mailto:bsmhft.adhdreferrals@nhs.net" TargetMode="External"/><Relationship Id="rId31"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rmingham.lmc@nhs.net" TargetMode="External"/><Relationship Id="rId22" Type="http://schemas.openxmlformats.org/officeDocument/2006/relationships/hyperlink" Target="https://www.practitionerhealth.nhs.uk/accessing-the-service" TargetMode="External"/><Relationship Id="rId27" Type="http://schemas.openxmlformats.org/officeDocument/2006/relationships/hyperlink" Target="https://www.bma.org.uk/media/5136/20220216-wellbeing-support-services-contacts-update-may-2022.pdf" TargetMode="External"/><Relationship Id="rId30" Type="http://schemas.openxmlformats.org/officeDocument/2006/relationships/hyperlink" Target="https://www.gov.uk/coronaviru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2496</Words>
  <Characters>14229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74</cp:revision>
  <dcterms:created xsi:type="dcterms:W3CDTF">2022-07-20T12:01:00Z</dcterms:created>
  <dcterms:modified xsi:type="dcterms:W3CDTF">2022-08-12T09:39:00Z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