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129E5" w14:textId="138213EE" w:rsidR="002B26EA" w:rsidRPr="008B6632" w:rsidRDefault="00D03932" w:rsidP="003515F9">
      <w:pPr>
        <w:spacing w:before="240"/>
        <w:rPr>
          <w:b/>
          <w:bCs/>
          <w:i/>
          <w:iCs/>
          <w:color w:val="4472C4" w:themeColor="accent1"/>
          <w:sz w:val="44"/>
          <w:szCs w:val="44"/>
        </w:rPr>
      </w:pPr>
      <w:r w:rsidRPr="00BE7F01">
        <w:rPr>
          <w:noProof/>
        </w:rPr>
        <mc:AlternateContent>
          <mc:Choice Requires="wps">
            <w:drawing>
              <wp:anchor distT="91440" distB="91440" distL="114300" distR="114300" simplePos="0" relativeHeight="251659264" behindDoc="0" locked="0" layoutInCell="1" allowOverlap="1" wp14:anchorId="7A68D838" wp14:editId="2C148B95">
                <wp:simplePos x="0" y="0"/>
                <wp:positionH relativeFrom="margin">
                  <wp:align>left</wp:align>
                </wp:positionH>
                <wp:positionV relativeFrom="paragraph">
                  <wp:posOffset>122555</wp:posOffset>
                </wp:positionV>
                <wp:extent cx="5483225" cy="8096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225" cy="809625"/>
                        </a:xfrm>
                        <a:prstGeom prst="rect">
                          <a:avLst/>
                        </a:prstGeom>
                        <a:noFill/>
                        <a:ln w="9525">
                          <a:noFill/>
                          <a:miter lim="800000"/>
                          <a:headEnd/>
                          <a:tailEnd/>
                        </a:ln>
                      </wps:spPr>
                      <wps:txbx>
                        <w:txbxContent>
                          <w:p w14:paraId="456C3362" w14:textId="48D8161C"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585485">
                              <w:rPr>
                                <w:b/>
                                <w:bCs/>
                                <w:i/>
                                <w:iCs/>
                                <w:color w:val="4472C4" w:themeColor="accent1"/>
                                <w:sz w:val="44"/>
                                <w:szCs w:val="44"/>
                              </w:rPr>
                              <w:t>– 26</w:t>
                            </w:r>
                            <w:r w:rsidR="00DB3451" w:rsidRPr="00DB3451">
                              <w:rPr>
                                <w:b/>
                                <w:bCs/>
                                <w:i/>
                                <w:iCs/>
                                <w:color w:val="4472C4" w:themeColor="accent1"/>
                                <w:sz w:val="44"/>
                                <w:szCs w:val="44"/>
                                <w:vertAlign w:val="superscript"/>
                              </w:rPr>
                              <w:t>th</w:t>
                            </w:r>
                            <w:r w:rsidR="00DB3451">
                              <w:rPr>
                                <w:b/>
                                <w:bCs/>
                                <w:i/>
                                <w:iCs/>
                                <w:color w:val="4472C4" w:themeColor="accent1"/>
                                <w:sz w:val="44"/>
                                <w:szCs w:val="44"/>
                              </w:rPr>
                              <w:t xml:space="preserve"> </w:t>
                            </w:r>
                            <w:r w:rsidR="00785F5E">
                              <w:rPr>
                                <w:b/>
                                <w:bCs/>
                                <w:i/>
                                <w:iCs/>
                                <w:color w:val="4472C4" w:themeColor="accent1"/>
                                <w:sz w:val="44"/>
                                <w:szCs w:val="44"/>
                              </w:rPr>
                              <w:t>of August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9.65pt;width:431.75pt;height:63.75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" filled="f" stroked="f">
                <v:textbox>
                  <w:txbxContent>
                    <w:p w14:paraId="456C3362" w14:textId="48D8161C"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585485">
                        <w:rPr>
                          <w:b/>
                          <w:bCs/>
                          <w:i/>
                          <w:iCs/>
                          <w:color w:val="4472C4" w:themeColor="accent1"/>
                          <w:sz w:val="44"/>
                          <w:szCs w:val="44"/>
                        </w:rPr>
                        <w:t>– 26</w:t>
                      </w:r>
                      <w:r w:rsidR="00DB3451" w:rsidRPr="00DB3451">
                        <w:rPr>
                          <w:b/>
                          <w:bCs/>
                          <w:i/>
                          <w:iCs/>
                          <w:color w:val="4472C4" w:themeColor="accent1"/>
                          <w:sz w:val="44"/>
                          <w:szCs w:val="44"/>
                          <w:vertAlign w:val="superscript"/>
                        </w:rPr>
                        <w:t>th</w:t>
                      </w:r>
                      <w:r w:rsidR="00DB3451">
                        <w:rPr>
                          <w:b/>
                          <w:bCs/>
                          <w:i/>
                          <w:iCs/>
                          <w:color w:val="4472C4" w:themeColor="accent1"/>
                          <w:sz w:val="44"/>
                          <w:szCs w:val="44"/>
                        </w:rPr>
                        <w:t xml:space="preserve"> </w:t>
                      </w:r>
                      <w:r w:rsidR="00785F5E">
                        <w:rPr>
                          <w:b/>
                          <w:bCs/>
                          <w:i/>
                          <w:iCs/>
                          <w:color w:val="4472C4" w:themeColor="accent1"/>
                          <w:sz w:val="44"/>
                          <w:szCs w:val="44"/>
                        </w:rPr>
                        <w:t>of August 2022</w:t>
                      </w:r>
                    </w:p>
                  </w:txbxContent>
                </v:textbox>
                <w10:wrap type="topAndBottom" anchorx="margin"/>
              </v:shape>
            </w:pict>
          </mc:Fallback>
        </mc:AlternateContent>
      </w:r>
    </w:p>
    <w:p w14:paraId="0BD4ED86" w14:textId="6F9F9363" w:rsidR="002B26EA" w:rsidRDefault="00000000" w:rsidP="00F64DA1">
      <w:pPr>
        <w:pStyle w:val="ListParagraph"/>
        <w:numPr>
          <w:ilvl w:val="0"/>
          <w:numId w:val="27"/>
        </w:numPr>
        <w:spacing w:before="240"/>
        <w:rPr>
          <w:rFonts w:cstheme="minorHAnsi"/>
          <w:b/>
          <w:bCs/>
          <w:color w:val="0000FF"/>
          <w:sz w:val="21"/>
          <w:szCs w:val="21"/>
          <w:lang w:eastAsia="en-GB"/>
        </w:rPr>
      </w:pPr>
      <w:hyperlink w:anchor="NO1" w:history="1">
        <w:r w:rsidR="00F64DA1" w:rsidRPr="00686135">
          <w:rPr>
            <w:rStyle w:val="Hyperlink"/>
            <w:rFonts w:cstheme="minorHAnsi"/>
            <w:b/>
            <w:bCs/>
            <w:sz w:val="21"/>
            <w:szCs w:val="21"/>
            <w:lang w:eastAsia="en-GB"/>
          </w:rPr>
          <w:t>GPC England Officer Team election</w:t>
        </w:r>
      </w:hyperlink>
    </w:p>
    <w:p w14:paraId="74CBA54B" w14:textId="08AC68B3" w:rsidR="00F64DA1" w:rsidRPr="00686135" w:rsidRDefault="00686135" w:rsidP="00F64DA1">
      <w:pPr>
        <w:pStyle w:val="ListParagraph"/>
        <w:numPr>
          <w:ilvl w:val="0"/>
          <w:numId w:val="27"/>
        </w:numPr>
        <w:spacing w:before="240"/>
        <w:rPr>
          <w:rStyle w:val="Hyperlink"/>
          <w:rFonts w:cstheme="minorHAnsi"/>
          <w:b/>
          <w:bCs/>
          <w:sz w:val="21"/>
          <w:szCs w:val="21"/>
          <w:lang w:eastAsia="en-GB"/>
        </w:rPr>
      </w:pPr>
      <w:r>
        <w:rPr>
          <w:rFonts w:cstheme="minorHAnsi"/>
          <w:b/>
          <w:bCs/>
          <w:color w:val="0000FF"/>
          <w:sz w:val="21"/>
          <w:szCs w:val="21"/>
          <w:lang w:eastAsia="en-GB"/>
        </w:rPr>
        <w:fldChar w:fldCharType="begin"/>
      </w:r>
      <w:r>
        <w:rPr>
          <w:rFonts w:cstheme="minorHAnsi"/>
          <w:b/>
          <w:bCs/>
          <w:color w:val="0000FF"/>
          <w:sz w:val="21"/>
          <w:szCs w:val="21"/>
          <w:lang w:eastAsia="en-GB"/>
        </w:rPr>
        <w:instrText xml:space="preserve"> HYPERLINK  \l "NO2" </w:instrText>
      </w:r>
      <w:r>
        <w:rPr>
          <w:rFonts w:cstheme="minorHAnsi"/>
          <w:b/>
          <w:bCs/>
          <w:color w:val="0000FF"/>
          <w:sz w:val="21"/>
          <w:szCs w:val="21"/>
          <w:lang w:eastAsia="en-GB"/>
        </w:rPr>
        <w:fldChar w:fldCharType="separate"/>
      </w:r>
      <w:r w:rsidR="00F64DA1" w:rsidRPr="00686135">
        <w:rPr>
          <w:rStyle w:val="Hyperlink"/>
          <w:rFonts w:cstheme="minorHAnsi"/>
          <w:b/>
          <w:bCs/>
          <w:sz w:val="21"/>
          <w:szCs w:val="21"/>
          <w:lang w:eastAsia="en-GB"/>
        </w:rPr>
        <w:t>GP workload and workface</w:t>
      </w:r>
    </w:p>
    <w:p w14:paraId="142D54D1" w14:textId="4F328347" w:rsidR="00F64DA1" w:rsidRDefault="00686135" w:rsidP="00F64DA1">
      <w:pPr>
        <w:pStyle w:val="ListParagraph"/>
        <w:numPr>
          <w:ilvl w:val="0"/>
          <w:numId w:val="27"/>
        </w:numPr>
        <w:spacing w:before="240"/>
        <w:rPr>
          <w:rFonts w:cstheme="minorHAnsi"/>
          <w:b/>
          <w:bCs/>
          <w:color w:val="0000FF"/>
          <w:sz w:val="21"/>
          <w:szCs w:val="21"/>
          <w:lang w:eastAsia="en-GB"/>
        </w:rPr>
      </w:pPr>
      <w:r>
        <w:rPr>
          <w:rFonts w:cstheme="minorHAnsi"/>
          <w:b/>
          <w:bCs/>
          <w:color w:val="0000FF"/>
          <w:sz w:val="21"/>
          <w:szCs w:val="21"/>
          <w:lang w:eastAsia="en-GB"/>
        </w:rPr>
        <w:fldChar w:fldCharType="end"/>
      </w:r>
      <w:hyperlink w:anchor="NO3" w:history="1">
        <w:r w:rsidR="00F64DA1" w:rsidRPr="00686135">
          <w:rPr>
            <w:rStyle w:val="Hyperlink"/>
            <w:rFonts w:cstheme="minorHAnsi"/>
            <w:b/>
            <w:bCs/>
            <w:sz w:val="21"/>
            <w:szCs w:val="21"/>
            <w:lang w:eastAsia="en-GB"/>
          </w:rPr>
          <w:t>COVID Booster</w:t>
        </w:r>
      </w:hyperlink>
    </w:p>
    <w:p w14:paraId="7446BBE4" w14:textId="7EB40146" w:rsidR="00F64DA1" w:rsidRDefault="00000000" w:rsidP="00F64DA1">
      <w:pPr>
        <w:pStyle w:val="ListParagraph"/>
        <w:numPr>
          <w:ilvl w:val="0"/>
          <w:numId w:val="27"/>
        </w:numPr>
        <w:spacing w:before="240"/>
        <w:rPr>
          <w:rFonts w:cstheme="minorHAnsi"/>
          <w:b/>
          <w:bCs/>
          <w:color w:val="0000FF"/>
          <w:sz w:val="21"/>
          <w:szCs w:val="21"/>
          <w:lang w:eastAsia="en-GB"/>
        </w:rPr>
      </w:pPr>
      <w:hyperlink w:anchor="NO4" w:history="1">
        <w:r w:rsidR="00F31546" w:rsidRPr="00686135">
          <w:rPr>
            <w:rStyle w:val="Hyperlink"/>
            <w:rFonts w:cstheme="minorHAnsi"/>
            <w:b/>
            <w:bCs/>
            <w:sz w:val="21"/>
            <w:szCs w:val="21"/>
            <w:lang w:eastAsia="en-GB"/>
          </w:rPr>
          <w:t>New: Flu Enhanced Service Specification and Flu Collaboration Agreement</w:t>
        </w:r>
      </w:hyperlink>
      <w:r w:rsidR="00F31546">
        <w:rPr>
          <w:rFonts w:cstheme="minorHAnsi"/>
          <w:b/>
          <w:bCs/>
          <w:color w:val="0000FF"/>
          <w:sz w:val="21"/>
          <w:szCs w:val="21"/>
          <w:lang w:eastAsia="en-GB"/>
        </w:rPr>
        <w:t xml:space="preserve"> </w:t>
      </w:r>
    </w:p>
    <w:p w14:paraId="348C9FC9" w14:textId="6A565C83" w:rsidR="00F31546" w:rsidRDefault="00000000" w:rsidP="00F64DA1">
      <w:pPr>
        <w:pStyle w:val="ListParagraph"/>
        <w:numPr>
          <w:ilvl w:val="0"/>
          <w:numId w:val="27"/>
        </w:numPr>
        <w:spacing w:before="240"/>
        <w:rPr>
          <w:rFonts w:cstheme="minorHAnsi"/>
          <w:b/>
          <w:bCs/>
          <w:color w:val="0000FF"/>
          <w:sz w:val="21"/>
          <w:szCs w:val="21"/>
          <w:lang w:eastAsia="en-GB"/>
        </w:rPr>
      </w:pPr>
      <w:hyperlink w:anchor="NO5" w:history="1">
        <w:r w:rsidR="00F31546" w:rsidRPr="00686135">
          <w:rPr>
            <w:rStyle w:val="Hyperlink"/>
            <w:rFonts w:cstheme="minorHAnsi"/>
            <w:b/>
            <w:bCs/>
            <w:sz w:val="21"/>
            <w:szCs w:val="21"/>
            <w:lang w:eastAsia="en-GB"/>
          </w:rPr>
          <w:t>Governments reported plan for GPs to prescribe heating bill discount is ‘beggar belief’</w:t>
        </w:r>
      </w:hyperlink>
    </w:p>
    <w:p w14:paraId="63BECA15" w14:textId="1B22CF76" w:rsidR="00F31546" w:rsidRDefault="00000000" w:rsidP="00F64DA1">
      <w:pPr>
        <w:pStyle w:val="ListParagraph"/>
        <w:numPr>
          <w:ilvl w:val="0"/>
          <w:numId w:val="27"/>
        </w:numPr>
        <w:spacing w:before="240"/>
        <w:rPr>
          <w:rFonts w:cstheme="minorHAnsi"/>
          <w:b/>
          <w:bCs/>
          <w:color w:val="0000FF"/>
          <w:sz w:val="21"/>
          <w:szCs w:val="21"/>
          <w:lang w:eastAsia="en-GB"/>
        </w:rPr>
      </w:pPr>
      <w:hyperlink w:anchor="NO6" w:history="1">
        <w:r w:rsidR="00F31546" w:rsidRPr="00686135">
          <w:rPr>
            <w:rStyle w:val="Hyperlink"/>
            <w:rFonts w:cstheme="minorHAnsi"/>
            <w:b/>
            <w:bCs/>
            <w:sz w:val="21"/>
            <w:szCs w:val="21"/>
            <w:lang w:eastAsia="en-GB"/>
          </w:rPr>
          <w:t>Social prescription trial on walking and cycling</w:t>
        </w:r>
      </w:hyperlink>
      <w:r w:rsidR="00F31546">
        <w:rPr>
          <w:rFonts w:cstheme="minorHAnsi"/>
          <w:b/>
          <w:bCs/>
          <w:color w:val="0000FF"/>
          <w:sz w:val="21"/>
          <w:szCs w:val="21"/>
          <w:lang w:eastAsia="en-GB"/>
        </w:rPr>
        <w:t xml:space="preserve"> </w:t>
      </w:r>
    </w:p>
    <w:p w14:paraId="0758B115" w14:textId="0BB91EFA" w:rsidR="00F31546" w:rsidRDefault="00000000" w:rsidP="00F64DA1">
      <w:pPr>
        <w:pStyle w:val="ListParagraph"/>
        <w:numPr>
          <w:ilvl w:val="0"/>
          <w:numId w:val="27"/>
        </w:numPr>
        <w:spacing w:before="240"/>
        <w:rPr>
          <w:rFonts w:cstheme="minorHAnsi"/>
          <w:b/>
          <w:bCs/>
          <w:color w:val="0000FF"/>
          <w:sz w:val="21"/>
          <w:szCs w:val="21"/>
          <w:lang w:eastAsia="en-GB"/>
        </w:rPr>
      </w:pPr>
      <w:hyperlink w:anchor="NO7" w:history="1">
        <w:r w:rsidR="00F31546" w:rsidRPr="00686135">
          <w:rPr>
            <w:rStyle w:val="Hyperlink"/>
            <w:rFonts w:cstheme="minorHAnsi"/>
            <w:b/>
            <w:bCs/>
            <w:sz w:val="21"/>
            <w:szCs w:val="21"/>
            <w:lang w:eastAsia="en-GB"/>
          </w:rPr>
          <w:t>GP ‘bureaucracy busting concordat’</w:t>
        </w:r>
      </w:hyperlink>
      <w:r w:rsidR="00F31546">
        <w:rPr>
          <w:rFonts w:cstheme="minorHAnsi"/>
          <w:b/>
          <w:bCs/>
          <w:color w:val="0000FF"/>
          <w:sz w:val="21"/>
          <w:szCs w:val="21"/>
          <w:lang w:eastAsia="en-GB"/>
        </w:rPr>
        <w:t xml:space="preserve"> </w:t>
      </w:r>
    </w:p>
    <w:p w14:paraId="2042038B" w14:textId="16FB5419" w:rsidR="00F31546" w:rsidRDefault="00000000" w:rsidP="00F64DA1">
      <w:pPr>
        <w:pStyle w:val="ListParagraph"/>
        <w:numPr>
          <w:ilvl w:val="0"/>
          <w:numId w:val="27"/>
        </w:numPr>
        <w:spacing w:before="240"/>
        <w:rPr>
          <w:rFonts w:cstheme="minorHAnsi"/>
          <w:b/>
          <w:bCs/>
          <w:color w:val="0000FF"/>
          <w:sz w:val="21"/>
          <w:szCs w:val="21"/>
          <w:lang w:eastAsia="en-GB"/>
        </w:rPr>
      </w:pPr>
      <w:hyperlink w:anchor="NO8" w:history="1">
        <w:r w:rsidR="00F31546" w:rsidRPr="00686135">
          <w:rPr>
            <w:rStyle w:val="Hyperlink"/>
            <w:rFonts w:cstheme="minorHAnsi"/>
            <w:b/>
            <w:bCs/>
            <w:sz w:val="21"/>
            <w:szCs w:val="21"/>
            <w:lang w:eastAsia="en-GB"/>
          </w:rPr>
          <w:t xml:space="preserve">PCN’s </w:t>
        </w:r>
        <w:r w:rsidR="009720C8" w:rsidRPr="00686135">
          <w:rPr>
            <w:rStyle w:val="Hyperlink"/>
            <w:rFonts w:cstheme="minorHAnsi"/>
            <w:b/>
            <w:bCs/>
            <w:sz w:val="21"/>
            <w:szCs w:val="21"/>
            <w:lang w:eastAsia="en-GB"/>
          </w:rPr>
          <w:t>–</w:t>
        </w:r>
        <w:r w:rsidR="00F31546" w:rsidRPr="00686135">
          <w:rPr>
            <w:rStyle w:val="Hyperlink"/>
            <w:rFonts w:cstheme="minorHAnsi"/>
            <w:b/>
            <w:bCs/>
            <w:sz w:val="21"/>
            <w:szCs w:val="21"/>
            <w:lang w:eastAsia="en-GB"/>
          </w:rPr>
          <w:t xml:space="preserve"> </w:t>
        </w:r>
        <w:r w:rsidR="009720C8" w:rsidRPr="00686135">
          <w:rPr>
            <w:rStyle w:val="Hyperlink"/>
            <w:rFonts w:cstheme="minorHAnsi"/>
            <w:b/>
            <w:bCs/>
            <w:sz w:val="21"/>
            <w:szCs w:val="21"/>
            <w:lang w:eastAsia="en-GB"/>
          </w:rPr>
          <w:t>clarification on CQC registration</w:t>
        </w:r>
      </w:hyperlink>
      <w:r w:rsidR="009720C8">
        <w:rPr>
          <w:rFonts w:cstheme="minorHAnsi"/>
          <w:b/>
          <w:bCs/>
          <w:color w:val="0000FF"/>
          <w:sz w:val="21"/>
          <w:szCs w:val="21"/>
          <w:lang w:eastAsia="en-GB"/>
        </w:rPr>
        <w:t xml:space="preserve"> </w:t>
      </w:r>
    </w:p>
    <w:p w14:paraId="75CAE18D" w14:textId="719003DA" w:rsidR="009720C8" w:rsidRDefault="00000000" w:rsidP="00F64DA1">
      <w:pPr>
        <w:pStyle w:val="ListParagraph"/>
        <w:numPr>
          <w:ilvl w:val="0"/>
          <w:numId w:val="27"/>
        </w:numPr>
        <w:spacing w:before="240"/>
        <w:rPr>
          <w:rFonts w:cstheme="minorHAnsi"/>
          <w:b/>
          <w:bCs/>
          <w:color w:val="0000FF"/>
          <w:sz w:val="21"/>
          <w:szCs w:val="21"/>
          <w:lang w:eastAsia="en-GB"/>
        </w:rPr>
      </w:pPr>
      <w:hyperlink w:anchor="NO9" w:history="1">
        <w:r w:rsidR="009720C8" w:rsidRPr="00686135">
          <w:rPr>
            <w:rStyle w:val="Hyperlink"/>
            <w:rFonts w:cstheme="minorHAnsi"/>
            <w:b/>
            <w:bCs/>
            <w:sz w:val="21"/>
            <w:szCs w:val="21"/>
            <w:lang w:eastAsia="en-GB"/>
          </w:rPr>
          <w:t>URGENT: Trust Registration Requirement – INFORMATION SHARED FROM GPDF</w:t>
        </w:r>
      </w:hyperlink>
    </w:p>
    <w:p w14:paraId="480435EC" w14:textId="74770F53" w:rsidR="009720C8" w:rsidRDefault="00000000" w:rsidP="00F64DA1">
      <w:pPr>
        <w:pStyle w:val="ListParagraph"/>
        <w:numPr>
          <w:ilvl w:val="0"/>
          <w:numId w:val="27"/>
        </w:numPr>
        <w:spacing w:before="240"/>
        <w:rPr>
          <w:rFonts w:cstheme="minorHAnsi"/>
          <w:b/>
          <w:bCs/>
          <w:color w:val="0000FF"/>
          <w:sz w:val="21"/>
          <w:szCs w:val="21"/>
          <w:lang w:eastAsia="en-GB"/>
        </w:rPr>
      </w:pPr>
      <w:hyperlink w:anchor="NU10" w:history="1">
        <w:r w:rsidR="009720C8" w:rsidRPr="00686135">
          <w:rPr>
            <w:rStyle w:val="Hyperlink"/>
            <w:rFonts w:cstheme="minorHAnsi"/>
            <w:b/>
            <w:bCs/>
            <w:sz w:val="21"/>
            <w:szCs w:val="21"/>
            <w:lang w:eastAsia="en-GB"/>
          </w:rPr>
          <w:t>Trust registration requirements</w:t>
        </w:r>
      </w:hyperlink>
    </w:p>
    <w:p w14:paraId="5163A313" w14:textId="702A6677" w:rsidR="009720C8" w:rsidRDefault="00000000" w:rsidP="00F64DA1">
      <w:pPr>
        <w:pStyle w:val="ListParagraph"/>
        <w:numPr>
          <w:ilvl w:val="0"/>
          <w:numId w:val="27"/>
        </w:numPr>
        <w:spacing w:before="240"/>
        <w:rPr>
          <w:rFonts w:cstheme="minorHAnsi"/>
          <w:b/>
          <w:bCs/>
          <w:color w:val="0000FF"/>
          <w:sz w:val="21"/>
          <w:szCs w:val="21"/>
          <w:lang w:eastAsia="en-GB"/>
        </w:rPr>
      </w:pPr>
      <w:hyperlink w:anchor="NU11" w:history="1">
        <w:r w:rsidR="009720C8" w:rsidRPr="00686135">
          <w:rPr>
            <w:rStyle w:val="Hyperlink"/>
            <w:rFonts w:cstheme="minorHAnsi"/>
            <w:b/>
            <w:bCs/>
            <w:sz w:val="21"/>
            <w:szCs w:val="21"/>
            <w:lang w:eastAsia="en-GB"/>
          </w:rPr>
          <w:t>Selection 49 report guidance</w:t>
        </w:r>
      </w:hyperlink>
      <w:r w:rsidR="009720C8">
        <w:rPr>
          <w:rFonts w:cstheme="minorHAnsi"/>
          <w:b/>
          <w:bCs/>
          <w:color w:val="0000FF"/>
          <w:sz w:val="21"/>
          <w:szCs w:val="21"/>
          <w:lang w:eastAsia="en-GB"/>
        </w:rPr>
        <w:t xml:space="preserve"> </w:t>
      </w:r>
    </w:p>
    <w:p w14:paraId="74D69D92" w14:textId="788590E4" w:rsidR="009720C8" w:rsidRDefault="00000000" w:rsidP="00F64DA1">
      <w:pPr>
        <w:pStyle w:val="ListParagraph"/>
        <w:numPr>
          <w:ilvl w:val="0"/>
          <w:numId w:val="27"/>
        </w:numPr>
        <w:spacing w:before="240"/>
        <w:rPr>
          <w:rFonts w:cstheme="minorHAnsi"/>
          <w:b/>
          <w:bCs/>
          <w:color w:val="0000FF"/>
          <w:sz w:val="21"/>
          <w:szCs w:val="21"/>
          <w:lang w:eastAsia="en-GB"/>
        </w:rPr>
      </w:pPr>
      <w:hyperlink w:anchor="NU12" w:history="1">
        <w:r w:rsidR="009720C8" w:rsidRPr="00686135">
          <w:rPr>
            <w:rStyle w:val="Hyperlink"/>
            <w:rFonts w:cstheme="minorHAnsi"/>
            <w:b/>
            <w:bCs/>
            <w:sz w:val="21"/>
            <w:szCs w:val="21"/>
            <w:lang w:eastAsia="en-GB"/>
          </w:rPr>
          <w:t>Research priority getting with the General Practice Workface Surgery</w:t>
        </w:r>
      </w:hyperlink>
    </w:p>
    <w:p w14:paraId="6BD169CE" w14:textId="6A0C47A6" w:rsidR="009720C8" w:rsidRDefault="00000000" w:rsidP="00F64DA1">
      <w:pPr>
        <w:pStyle w:val="ListParagraph"/>
        <w:numPr>
          <w:ilvl w:val="0"/>
          <w:numId w:val="27"/>
        </w:numPr>
        <w:spacing w:before="240"/>
        <w:rPr>
          <w:rFonts w:cstheme="minorHAnsi"/>
          <w:b/>
          <w:bCs/>
          <w:color w:val="0000FF"/>
          <w:sz w:val="21"/>
          <w:szCs w:val="21"/>
          <w:lang w:eastAsia="en-GB"/>
        </w:rPr>
      </w:pPr>
      <w:hyperlink w:anchor="NU13" w:history="1">
        <w:r w:rsidR="009720C8" w:rsidRPr="00686135">
          <w:rPr>
            <w:rStyle w:val="Hyperlink"/>
            <w:rFonts w:cstheme="minorHAnsi"/>
            <w:b/>
            <w:bCs/>
            <w:sz w:val="21"/>
            <w:szCs w:val="21"/>
            <w:lang w:eastAsia="en-GB"/>
          </w:rPr>
          <w:t>Updated: Your website</w:t>
        </w:r>
      </w:hyperlink>
    </w:p>
    <w:p w14:paraId="1731860E" w14:textId="1060EA6D" w:rsidR="009720C8" w:rsidRDefault="00000000" w:rsidP="00F64DA1">
      <w:pPr>
        <w:pStyle w:val="ListParagraph"/>
        <w:numPr>
          <w:ilvl w:val="0"/>
          <w:numId w:val="27"/>
        </w:numPr>
        <w:spacing w:before="240"/>
        <w:rPr>
          <w:rFonts w:cstheme="minorHAnsi"/>
          <w:b/>
          <w:bCs/>
          <w:color w:val="0000FF"/>
          <w:sz w:val="21"/>
          <w:szCs w:val="21"/>
          <w:lang w:eastAsia="en-GB"/>
        </w:rPr>
      </w:pPr>
      <w:hyperlink w:anchor="NU14" w:history="1">
        <w:r w:rsidR="009720C8" w:rsidRPr="00686135">
          <w:rPr>
            <w:rStyle w:val="Hyperlink"/>
            <w:rFonts w:cstheme="minorHAnsi"/>
            <w:b/>
            <w:bCs/>
            <w:sz w:val="21"/>
            <w:szCs w:val="21"/>
            <w:lang w:eastAsia="en-GB"/>
          </w:rPr>
          <w:t xml:space="preserve">Supporting GP Practice in offering patient </w:t>
        </w:r>
        <w:r w:rsidR="00326C45" w:rsidRPr="00686135">
          <w:rPr>
            <w:rStyle w:val="Hyperlink"/>
            <w:rFonts w:cstheme="minorHAnsi"/>
            <w:b/>
            <w:bCs/>
            <w:sz w:val="21"/>
            <w:szCs w:val="21"/>
            <w:lang w:eastAsia="en-GB"/>
          </w:rPr>
          <w:t>access to their further health information</w:t>
        </w:r>
      </w:hyperlink>
    </w:p>
    <w:p w14:paraId="46D100B1" w14:textId="16C573E2" w:rsidR="00326C45" w:rsidRDefault="00000000" w:rsidP="00F64DA1">
      <w:pPr>
        <w:pStyle w:val="ListParagraph"/>
        <w:numPr>
          <w:ilvl w:val="0"/>
          <w:numId w:val="27"/>
        </w:numPr>
        <w:spacing w:before="240"/>
        <w:rPr>
          <w:rFonts w:cstheme="minorHAnsi"/>
          <w:b/>
          <w:bCs/>
          <w:color w:val="0000FF"/>
          <w:sz w:val="21"/>
          <w:szCs w:val="21"/>
          <w:lang w:eastAsia="en-GB"/>
        </w:rPr>
      </w:pPr>
      <w:hyperlink w:anchor="NU15" w:history="1">
        <w:r w:rsidR="00326C45" w:rsidRPr="00686135">
          <w:rPr>
            <w:rStyle w:val="Hyperlink"/>
            <w:rFonts w:cstheme="minorHAnsi"/>
            <w:b/>
            <w:bCs/>
            <w:sz w:val="21"/>
            <w:szCs w:val="21"/>
            <w:lang w:eastAsia="en-GB"/>
          </w:rPr>
          <w:t>Improvement to suspended patient records</w:t>
        </w:r>
      </w:hyperlink>
    </w:p>
    <w:p w14:paraId="41D7A370" w14:textId="3A4E57AB" w:rsidR="00326C45" w:rsidRPr="00F64DA1" w:rsidRDefault="00000000" w:rsidP="00F64DA1">
      <w:pPr>
        <w:pStyle w:val="ListParagraph"/>
        <w:numPr>
          <w:ilvl w:val="0"/>
          <w:numId w:val="27"/>
        </w:numPr>
        <w:spacing w:before="240"/>
        <w:rPr>
          <w:rFonts w:cstheme="minorHAnsi"/>
          <w:b/>
          <w:bCs/>
          <w:color w:val="0000FF"/>
          <w:sz w:val="21"/>
          <w:szCs w:val="21"/>
          <w:lang w:eastAsia="en-GB"/>
        </w:rPr>
      </w:pPr>
      <w:hyperlink w:anchor="NU16" w:history="1">
        <w:proofErr w:type="spellStart"/>
        <w:r w:rsidR="00326C45" w:rsidRPr="00686135">
          <w:rPr>
            <w:rStyle w:val="Hyperlink"/>
            <w:rFonts w:cstheme="minorHAnsi"/>
            <w:b/>
            <w:bCs/>
            <w:sz w:val="21"/>
            <w:szCs w:val="21"/>
            <w:lang w:eastAsia="en-GB"/>
          </w:rPr>
          <w:t>BSol</w:t>
        </w:r>
        <w:proofErr w:type="spellEnd"/>
        <w:r w:rsidR="00326C45" w:rsidRPr="00686135">
          <w:rPr>
            <w:rStyle w:val="Hyperlink"/>
            <w:rFonts w:cstheme="minorHAnsi"/>
            <w:b/>
            <w:bCs/>
            <w:sz w:val="21"/>
            <w:szCs w:val="21"/>
            <w:lang w:eastAsia="en-GB"/>
          </w:rPr>
          <w:t xml:space="preserve"> Recruitment Fayre – 17/09/22</w:t>
        </w:r>
      </w:hyperlink>
    </w:p>
    <w:p w14:paraId="26F768FE" w14:textId="4007EE62" w:rsidR="002B26EA" w:rsidRDefault="002B26EA" w:rsidP="003515F9">
      <w:pPr>
        <w:spacing w:before="240"/>
        <w:rPr>
          <w:rFonts w:cstheme="minorHAnsi"/>
          <w:b/>
          <w:bCs/>
          <w:color w:val="0000FF"/>
          <w:sz w:val="21"/>
          <w:szCs w:val="21"/>
          <w:lang w:eastAsia="en-GB"/>
        </w:rPr>
      </w:pPr>
    </w:p>
    <w:p w14:paraId="62D0B128" w14:textId="77777777" w:rsidR="002B26EA" w:rsidRDefault="002B26EA" w:rsidP="003515F9">
      <w:pPr>
        <w:spacing w:before="240"/>
        <w:rPr>
          <w:rFonts w:cstheme="minorHAnsi"/>
          <w:b/>
          <w:bCs/>
          <w:color w:val="0000FF"/>
          <w:sz w:val="21"/>
          <w:szCs w:val="21"/>
          <w:lang w:eastAsia="en-GB"/>
        </w:rPr>
      </w:pPr>
    </w:p>
    <w:p w14:paraId="7F0AF7E5" w14:textId="1A607AF0"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0" w:name="NO1"/>
      <w:r>
        <w:rPr>
          <w:b/>
          <w:bCs/>
        </w:rPr>
        <w:t>1.GPC England Officer Team election</w:t>
      </w:r>
    </w:p>
    <w:bookmarkEnd w:id="0"/>
    <w:p w14:paraId="62D51023"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We are pleased to announce that David Wrigley has been elected to the GPC England Officer Team as deputy chair. He is a GP partner working in Carnforth, Lancashire and he is also an elected member of the BMA’s UK Council and, until his term finished in June earlier this year, was deputy chair of Council for five years, serving from 2016-17 and then again from 2018-22. He was also a former regional representative of GPC, and currently vice chair of Morecambe Bay LMC. </w:t>
      </w:r>
    </w:p>
    <w:p w14:paraId="7B606793"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The GPC England Executive Team has now become the GPC England Officer Team (made up of a chair and three deputies). This brings the leadership structure of GPC England further in line with what is standard practice at the BMA and ensures parity of esteem between the Officer Team. </w:t>
      </w:r>
    </w:p>
    <w:p w14:paraId="0E1670E3"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Read the full statement </w:t>
      </w:r>
      <w:hyperlink r:id="rId11" w:history="1">
        <w:r>
          <w:rPr>
            <w:rStyle w:val="Hyperlink"/>
          </w:rPr>
          <w:t>here</w:t>
        </w:r>
      </w:hyperlink>
      <w:r>
        <w:t xml:space="preserve"> and read more about GPC England </w:t>
      </w:r>
      <w:hyperlink r:id="rId12" w:history="1">
        <w:r>
          <w:rPr>
            <w:rStyle w:val="Hyperlink"/>
          </w:rPr>
          <w:t>here</w:t>
        </w:r>
      </w:hyperlink>
    </w:p>
    <w:p w14:paraId="5A2B9795" w14:textId="77777777" w:rsidR="00F45E90" w:rsidRDefault="00F45E90" w:rsidP="00F45E90">
      <w:pPr>
        <w:rPr>
          <w:b/>
          <w:bCs/>
        </w:rPr>
      </w:pPr>
    </w:p>
    <w:p w14:paraId="19E682A2" w14:textId="05A267BF"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 w:name="NO2"/>
      <w:r>
        <w:rPr>
          <w:b/>
          <w:bCs/>
        </w:rPr>
        <w:t>2.GP workload and workforce</w:t>
      </w:r>
    </w:p>
    <w:bookmarkEnd w:id="1"/>
    <w:p w14:paraId="3B2E3334"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lastRenderedPageBreak/>
        <w:t>GP practices across the country continue to experience significant and growing strain with declining GP numbers, rising demand, struggles to recruit and retain staff and has knock-on effects for patients. GP numbers are falling, with little increase in the overall number of GPs since 2015, and a significant decline in the number of GP partners over that time.</w:t>
      </w:r>
    </w:p>
    <w:p w14:paraId="22497278"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As shown by the latest </w:t>
      </w:r>
      <w:hyperlink r:id="rId13" w:history="1">
        <w:r>
          <w:rPr>
            <w:rStyle w:val="Hyperlink"/>
          </w:rPr>
          <w:t>GP practice workforce data</w:t>
        </w:r>
      </w:hyperlink>
      <w:r>
        <w:rPr>
          <w:color w:val="FF0000"/>
        </w:rPr>
        <w:t xml:space="preserve">, </w:t>
      </w:r>
      <w:r>
        <w:t xml:space="preserve">published today, as of July 2022  we now have the equivalent of 1,857 fewer fully qualified full-time GPs compared to September 2015. </w:t>
      </w:r>
      <w:r>
        <w:rPr>
          <w:lang w:val="en-US"/>
        </w:rPr>
        <w:t xml:space="preserve">This means that NHS has lost the equivalent of 51 full-time fully qualified GPs compared to the previous month (June 2022). </w:t>
      </w:r>
      <w:r>
        <w:t>This is despite the promises by the Government of an additional 6,000 GPs by 2024. </w:t>
      </w:r>
    </w:p>
    <w:p w14:paraId="3933F47C"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FF0000"/>
        </w:rPr>
      </w:pPr>
      <w:r>
        <w:t xml:space="preserve">At the same time, the number of </w:t>
      </w:r>
      <w:hyperlink r:id="rId14" w:history="1">
        <w:r>
          <w:rPr>
            <w:rStyle w:val="Hyperlink"/>
          </w:rPr>
          <w:t>GP appointments</w:t>
        </w:r>
      </w:hyperlink>
      <w:r>
        <w:rPr>
          <w:color w:val="FF0000"/>
        </w:rPr>
        <w:t xml:space="preserve"> </w:t>
      </w:r>
      <w:r>
        <w:t xml:space="preserve">remains high, with the July total of 26 million, of which 44.3% were same day appointments.  Read more about the pressures in general practice </w:t>
      </w:r>
      <w:hyperlink r:id="rId15" w:history="1">
        <w:r>
          <w:rPr>
            <w:rStyle w:val="Hyperlink"/>
          </w:rPr>
          <w:t>here</w:t>
        </w:r>
      </w:hyperlink>
      <w:r>
        <w:t xml:space="preserve"> </w:t>
      </w:r>
    </w:p>
    <w:p w14:paraId="6DE58247"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General practice is under considerable strain and due to these pressures, GPs continue to leave the profession in larger numbers than ever before. We will continue to urge the Government to tackle the systemic pressures that contribute to burnout and worsening wellbeing among doctors, impress upon the need to support the workforce.</w:t>
      </w:r>
    </w:p>
    <w:p w14:paraId="29683C94"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We encourage practices to control their workload to mitigate the impact of unsustainable demand and overworking. Our </w:t>
      </w:r>
      <w:hyperlink r:id="rId16" w:history="1">
        <w:r>
          <w:rPr>
            <w:rStyle w:val="Hyperlink"/>
            <w:i/>
            <w:iCs/>
          </w:rPr>
          <w:t>Safe working in general practice</w:t>
        </w:r>
      </w:hyperlink>
      <w:r>
        <w:t xml:space="preserve"> guidance enable practices to prioritise safe patient care within the present bounds of their contract with the NHS. We would encourage practices to consider these suggestions for controlling their workload to ensure safe patient care, and better staff wellbeing could make a significant difference in the coming weeks and months. Please also take a moment to check in on your colleagues’ wellbeing and look out for each other.</w:t>
      </w:r>
    </w:p>
    <w:p w14:paraId="65528FBF"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The BMA is here for you and offers a range of </w:t>
      </w:r>
      <w:hyperlink r:id="rId17" w:history="1">
        <w:r>
          <w:rPr>
            <w:rStyle w:val="Hyperlink"/>
          </w:rPr>
          <w:t>wellbeing and support services</w:t>
        </w:r>
      </w:hyperlink>
      <w:r>
        <w:t xml:space="preserve"> for doctors, and we encourage anybody who is feeling under strain to seek support.  You can access one-off support or, after triage, a structured course of up to six face-to-face counselling sessions. Call </w:t>
      </w:r>
      <w:r>
        <w:rPr>
          <w:b/>
          <w:bCs/>
        </w:rPr>
        <w:t>0330 123 1245</w:t>
      </w:r>
      <w:r>
        <w:t> today or </w:t>
      </w:r>
      <w:hyperlink r:id="rId18" w:history="1">
        <w:r>
          <w:rPr>
            <w:rStyle w:val="Hyperlink"/>
            <w:b/>
            <w:bCs/>
          </w:rPr>
          <w:t>visit the website</w:t>
        </w:r>
      </w:hyperlink>
      <w:r>
        <w:t> for more information.</w:t>
      </w:r>
    </w:p>
    <w:p w14:paraId="553F4AB2"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u w:val="single"/>
        </w:rPr>
      </w:pPr>
      <w:r>
        <w:t xml:space="preserve">For all other support, speak to a BMA adviser on </w:t>
      </w:r>
      <w:hyperlink r:id="rId19" w:history="1">
        <w:r>
          <w:rPr>
            <w:rStyle w:val="Hyperlink"/>
            <w:b/>
            <w:bCs/>
          </w:rPr>
          <w:t>0300 123 1233</w:t>
        </w:r>
      </w:hyperlink>
      <w:r>
        <w:t xml:space="preserve"> or email </w:t>
      </w:r>
      <w:hyperlink r:id="rId20" w:history="1">
        <w:r>
          <w:rPr>
            <w:rStyle w:val="Hyperlink"/>
            <w:b/>
            <w:bCs/>
          </w:rPr>
          <w:t>support@bma.org.uk</w:t>
        </w:r>
      </w:hyperlink>
      <w:r>
        <w:t xml:space="preserve"> </w:t>
      </w:r>
    </w:p>
    <w:p w14:paraId="36A4382A" w14:textId="77777777" w:rsidR="00F45E90" w:rsidRDefault="00F45E90" w:rsidP="00F45E90">
      <w:pPr>
        <w:rPr>
          <w:b/>
          <w:bCs/>
        </w:rPr>
      </w:pPr>
    </w:p>
    <w:p w14:paraId="550B6651" w14:textId="48AB04C8"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2" w:name="NO3"/>
      <w:r>
        <w:rPr>
          <w:b/>
          <w:bCs/>
        </w:rPr>
        <w:t>3.COVID Booster</w:t>
      </w:r>
    </w:p>
    <w:bookmarkEnd w:id="2"/>
    <w:p w14:paraId="31612112"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Responding to the announcement of the </w:t>
      </w:r>
      <w:hyperlink r:id="rId21" w:history="1">
        <w:r>
          <w:rPr>
            <w:rStyle w:val="Hyperlink"/>
          </w:rPr>
          <w:t>autumn COVID-19 booster programme</w:t>
        </w:r>
      </w:hyperlink>
      <w:r>
        <w:t xml:space="preserve">, </w:t>
      </w:r>
      <w:proofErr w:type="spellStart"/>
      <w:r>
        <w:t>Preeti</w:t>
      </w:r>
      <w:proofErr w:type="spellEnd"/>
      <w:r>
        <w:t xml:space="preserve"> Shukla, GPC clinical and prescribing policy lead, said:</w:t>
      </w:r>
    </w:p>
    <w:p w14:paraId="561DF772"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“The new Moderna bivalent vaccine is great news in the fight against the Covid virus and will make an important addition to this autumn’s booster programme – a programme essential to preventing another outbreak in the winter.</w:t>
      </w:r>
    </w:p>
    <w:p w14:paraId="6F6BAD97"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“However, with the current well-documented pressures on GP practices and the reduction in the funding for delivery of these vaccines, we have serious concerns about the rollout. Payment to GPs for delivery of vaccines has dropped 20% since last year’s rollout while the costs for GP practices have only rocketed in the meantime. This vaccine will require freezing and refrigerating, an ever more expensive operation as energy costs rise. The new Moderna vaccine only strengthens the case for returning payments to last year’s level rather than trying to deliver a booster programme on the cheap.</w:t>
      </w:r>
    </w:p>
    <w:p w14:paraId="10EF60BC"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4A5ECEE8"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“GP practices, while glad to hear of a new vaccine to add to their arsenal, will nevertheless be wondering if the numbers add up as they face a difficult autumn and winter.”</w:t>
      </w:r>
    </w:p>
    <w:p w14:paraId="2417DB40"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t xml:space="preserve">Read the statement: </w:t>
      </w:r>
      <w:hyperlink r:id="rId22" w:history="1">
        <w:r>
          <w:rPr>
            <w:rStyle w:val="Hyperlink"/>
            <w:color w:val="0000FF"/>
          </w:rPr>
          <w:t>Autumn booster programme must not be delivered 'on the cheap'</w:t>
        </w:r>
      </w:hyperlink>
    </w:p>
    <w:p w14:paraId="4242F36D" w14:textId="77777777" w:rsidR="00F45E90" w:rsidRDefault="00F45E90" w:rsidP="00F45E90">
      <w:pPr>
        <w:rPr>
          <w:b/>
          <w:bCs/>
        </w:rPr>
      </w:pPr>
    </w:p>
    <w:p w14:paraId="1D8179E3" w14:textId="4704135B"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3" w:name="NO4"/>
      <w:r>
        <w:rPr>
          <w:b/>
          <w:bCs/>
        </w:rPr>
        <w:t>4.New Flu Enhanced Service Specifications and Flu Collaboration Agreement</w:t>
      </w:r>
    </w:p>
    <w:bookmarkEnd w:id="3"/>
    <w:p w14:paraId="0B2DB26A"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NHS England and NHS Improvement (NHSE/I) has now published the </w:t>
      </w:r>
      <w:hyperlink r:id="rId23" w:history="1">
        <w:r>
          <w:rPr>
            <w:rStyle w:val="Hyperlink"/>
          </w:rPr>
          <w:t>service specifications</w:t>
        </w:r>
      </w:hyperlink>
      <w:r>
        <w:t xml:space="preserve"> for 2022/23 flu childhood flu vaccination programmes.</w:t>
      </w:r>
    </w:p>
    <w:p w14:paraId="732241C7"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0442751E"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As practices will be aware from the previous </w:t>
      </w:r>
      <w:hyperlink r:id="rId24" w:history="1">
        <w:r>
          <w:rPr>
            <w:rStyle w:val="Hyperlink"/>
          </w:rPr>
          <w:t>NHSE/I flu letters</w:t>
        </w:r>
      </w:hyperlink>
      <w:r>
        <w:t>, practice staff are still not  included within the cohorts for the programme.  We have serious concerns about this as including practice staff within the eligible cohort would improve uptake, protect patients, and help maintain workforce.</w:t>
      </w:r>
    </w:p>
    <w:p w14:paraId="0493C343"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33B6A021"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We have repeatedly raised our concerns about this with NHSE/I, especially as practice staff were included in last year’s programme, and this is something that we are continuing to discuss with NHSE/I as a matter of urgency.</w:t>
      </w:r>
    </w:p>
    <w:p w14:paraId="0029F413" w14:textId="77777777" w:rsidR="00F45E90" w:rsidRDefault="00F45E90" w:rsidP="00F45E90">
      <w:pPr>
        <w:rPr>
          <w:b/>
          <w:bCs/>
          <w:u w:val="single"/>
        </w:rPr>
      </w:pPr>
    </w:p>
    <w:p w14:paraId="64852776" w14:textId="52EEE60C"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4" w:name="NO5"/>
      <w:r>
        <w:rPr>
          <w:b/>
          <w:bCs/>
        </w:rPr>
        <w:t>5.Government’s reported plan for GPs to prescribe heating bill discounts is '</w:t>
      </w:r>
      <w:proofErr w:type="gramStart"/>
      <w:r>
        <w:rPr>
          <w:b/>
          <w:bCs/>
        </w:rPr>
        <w:t>beggars</w:t>
      </w:r>
      <w:proofErr w:type="gramEnd"/>
      <w:r>
        <w:rPr>
          <w:b/>
          <w:bCs/>
        </w:rPr>
        <w:t xml:space="preserve"> belief'</w:t>
      </w:r>
    </w:p>
    <w:bookmarkEnd w:id="4"/>
    <w:p w14:paraId="6347BA4D"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In response to the </w:t>
      </w:r>
      <w:hyperlink r:id="rId25" w:history="1">
        <w:r>
          <w:rPr>
            <w:rStyle w:val="Hyperlink"/>
          </w:rPr>
          <w:t>report that GPs would be asked</w:t>
        </w:r>
      </w:hyperlink>
      <w:r>
        <w:t> by government to 'write prescriptions for money off energy bills', David Wrigley, GPC England deputy chair, said:</w:t>
      </w:r>
    </w:p>
    <w:p w14:paraId="51C2FB6E"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40349489"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“We completely reject any suggestion that GPs do this work. They do not have the time or the skills to do the work of the welfare system. At a time when GPs are already overwhelmed with the greatest workforce crisis and are supporting patients on hospital waiting lists which are longer than ever, this addition to their workload would be totally unacceptable. It is </w:t>
      </w:r>
      <w:proofErr w:type="gramStart"/>
      <w:r>
        <w:t>beggars</w:t>
      </w:r>
      <w:proofErr w:type="gramEnd"/>
      <w:r>
        <w:t xml:space="preserve"> belief that government ministers think it is appropriate to suggest GPs undertake it. The government has not discussed this with us in any form - floating these sorts of proposals via the media is deeply unprofessional.” Read the full statement </w:t>
      </w:r>
      <w:hyperlink r:id="rId26" w:history="1">
        <w:r>
          <w:rPr>
            <w:rStyle w:val="Hyperlink"/>
          </w:rPr>
          <w:t>here</w:t>
        </w:r>
      </w:hyperlink>
    </w:p>
    <w:p w14:paraId="3C3322FD" w14:textId="77777777" w:rsidR="00F45E90" w:rsidRDefault="00F45E90" w:rsidP="00F45E90"/>
    <w:p w14:paraId="10D207E0" w14:textId="3265DCF9"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5" w:name="NO6"/>
      <w:r>
        <w:rPr>
          <w:b/>
          <w:bCs/>
        </w:rPr>
        <w:t xml:space="preserve">6.Social prescription trial on walking and cycling </w:t>
      </w:r>
    </w:p>
    <w:bookmarkEnd w:id="5"/>
    <w:p w14:paraId="6484C62F"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52524"/>
        </w:rPr>
      </w:pPr>
      <w:r>
        <w:t xml:space="preserve">The </w:t>
      </w:r>
      <w:hyperlink r:id="rId27" w:history="1">
        <w:r>
          <w:rPr>
            <w:rStyle w:val="Hyperlink"/>
          </w:rPr>
          <w:t>Government is introducing social prescriptions for walking, wheeling and cycling</w:t>
        </w:r>
      </w:hyperlink>
      <w:r>
        <w:t xml:space="preserve">, as part of a new trial to improve mental and physical health and reduce disparities across the country. This is a </w:t>
      </w:r>
      <w:r>
        <w:lastRenderedPageBreak/>
        <w:t>step in the right direction for public health - physical activity is key to good physical and </w:t>
      </w:r>
      <w:hyperlink r:id="rId28" w:tgtFrame="_blank" w:history="1">
        <w:r>
          <w:rPr>
            <w:rStyle w:val="Hyperlink"/>
          </w:rPr>
          <w:t>mental health</w:t>
        </w:r>
      </w:hyperlink>
      <w:r>
        <w:t> and brings huge benefits to society and the environment.</w:t>
      </w:r>
      <w:r>
        <w:rPr>
          <w:color w:val="252524"/>
        </w:rPr>
        <w:t xml:space="preserve"> </w:t>
      </w:r>
    </w:p>
    <w:p w14:paraId="54B3E08D"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52524"/>
        </w:rPr>
      </w:pPr>
    </w:p>
    <w:p w14:paraId="13BA5525"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Pr>
          <w:color w:val="252524"/>
        </w:rPr>
        <w:t xml:space="preserve">But </w:t>
      </w:r>
      <w:r>
        <w:t>the impact will be minimal without a clear commitment to long-term funding and consideration of the wider context. Without properly addressing resources and the capacity of GPs, this approach risks frustrating doctors as well as the public. The initiative needs public health and primary care to have joined up policymaking and adequate funding, however, if prevention is to stay the course and deliver long-term health benefits, especially for the poorest.</w:t>
      </w:r>
    </w:p>
    <w:p w14:paraId="21962F13"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Read more in this </w:t>
      </w:r>
      <w:hyperlink r:id="rId29" w:history="1">
        <w:r>
          <w:rPr>
            <w:rStyle w:val="Hyperlink"/>
          </w:rPr>
          <w:t>article</w:t>
        </w:r>
      </w:hyperlink>
      <w:r>
        <w:t xml:space="preserve"> by Penelope Toff, Chair of the BMA’s Public Health Medicine Committee</w:t>
      </w:r>
    </w:p>
    <w:p w14:paraId="1998C30C" w14:textId="77777777" w:rsidR="00F45E90" w:rsidRDefault="00F45E90" w:rsidP="00F45E90">
      <w:pPr>
        <w:rPr>
          <w:b/>
          <w:bCs/>
        </w:rPr>
      </w:pPr>
    </w:p>
    <w:p w14:paraId="147F605B" w14:textId="553B9294"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6" w:name="NO7"/>
      <w:r>
        <w:rPr>
          <w:b/>
          <w:bCs/>
        </w:rPr>
        <w:t>7.GP ‘bureaucracy busting concordat’</w:t>
      </w:r>
    </w:p>
    <w:bookmarkEnd w:id="6"/>
    <w:p w14:paraId="75A030FD"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Earlier this week the Government published its GP ‘</w:t>
      </w:r>
      <w:hyperlink r:id="rId30" w:history="1">
        <w:r>
          <w:rPr>
            <w:rStyle w:val="Hyperlink"/>
          </w:rPr>
          <w:t>bureaucracy busting concordat</w:t>
        </w:r>
      </w:hyperlink>
      <w:r>
        <w:t>’, which outlines seven principles to help reduce unnecessary bureaucracy and administrative burdens in general practice. Developed with input from the BMA, the concordat includes principles around medical evidence, certification and designing processes around ease of use for both GPs and patients.</w:t>
      </w:r>
    </w:p>
    <w:p w14:paraId="1D844104"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75BEE787"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GPC England deputy chair, Kieran Sharrock, said he was glad that DHSC and NHSE/I “recognise the potential of what empowering practices to take charge of their workload can do, and hope all Government departments sign up to this concordat and its seven principles - which the BMA helped develop - to ensure unnecessary bureaucracy in general practice can finally start to be relieved”. </w:t>
      </w:r>
    </w:p>
    <w:p w14:paraId="37C52546" w14:textId="77777777" w:rsidR="00F45E90" w:rsidRDefault="00F45E90" w:rsidP="00F45E90">
      <w:pPr>
        <w:rPr>
          <w:b/>
          <w:bCs/>
        </w:rPr>
      </w:pPr>
    </w:p>
    <w:p w14:paraId="2133B264" w14:textId="4FF48AC2" w:rsidR="00F45E90" w:rsidRP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7" w:name="NO8"/>
      <w:r>
        <w:rPr>
          <w:b/>
          <w:bCs/>
        </w:rPr>
        <w:t>8.</w:t>
      </w:r>
      <w:r w:rsidRPr="00F45E90">
        <w:rPr>
          <w:b/>
          <w:bCs/>
        </w:rPr>
        <w:t>PCNs – clarification on CQC registration</w:t>
      </w:r>
    </w:p>
    <w:bookmarkEnd w:id="7"/>
    <w:p w14:paraId="574F7680" w14:textId="77777777" w:rsidR="00F45E90" w:rsidRP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F45E90">
        <w:t>Following concerns and some confusion at local level regarding PCNs (Primary Care Networks) and CQC (Care Quality Commission) registration, the following clarification has been provided by CQC:</w:t>
      </w:r>
    </w:p>
    <w:p w14:paraId="1E81F3FA" w14:textId="77777777" w:rsidR="00F45E90" w:rsidRP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7A7991BD" w14:textId="77777777" w:rsidR="00F45E90" w:rsidRP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F45E90">
        <w:t xml:space="preserve">‘It is important to remember that only legal entities can register with CQC. If a provider is a collaborative, such as a PCN, and is not a legal entity then it cannot carry out regulated activities and therefore it cannot be registered with CQC. In a situation where a PCN is not a legal entity, and the constituent members are already registered with CQC for the delivery of regulated activities they provide as part of the network (including extended access) they will not need to register separately from the constituent </w:t>
      </w:r>
      <w:proofErr w:type="gramStart"/>
      <w:r w:rsidRPr="00F45E90">
        <w:t>practices,</w:t>
      </w:r>
      <w:proofErr w:type="gramEnd"/>
      <w:r w:rsidRPr="00F45E90">
        <w:t xml:space="preserve"> however it is advised that providers amend their statement of purpose to accurately reflect the additional roles they will assume as a participant member of a PCN. </w:t>
      </w:r>
    </w:p>
    <w:p w14:paraId="24D8EA49" w14:textId="77777777" w:rsidR="00F45E90" w:rsidRP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30A0B847" w14:textId="77777777" w:rsidR="00F45E90" w:rsidRP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F45E90">
        <w:t xml:space="preserve">In a situation where a new or currently unregistered provider organisation is formed as a legal entity AND the organisation will have ongoing direction and control of the delivery of regulated activities it would be required to register with CQC. If a PCN becomes a legal entity but does not directly control </w:t>
      </w:r>
      <w:r w:rsidRPr="00F45E90">
        <w:lastRenderedPageBreak/>
        <w:t>and deliver regulated activities (for example by supplying staff to assist constituent practices to deliver their regulated activities) there is no need to register with CQC. Please note that new applications for registration can take up to 10 weeks to process. The exact timeframe will depend upon the complexity of the application and the availability of key information requested by the registration inspector.’</w:t>
      </w:r>
    </w:p>
    <w:p w14:paraId="20CA59C1" w14:textId="77777777" w:rsidR="00F45E90" w:rsidRP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0DE2126A" w14:textId="77777777" w:rsidR="00F45E90" w:rsidRP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F45E90">
        <w:t>In addition to this statement, GPC England officers and staff will be working with CQC to develop and publish responses to a range of FAQs addressing PCNs and registration.</w:t>
      </w:r>
    </w:p>
    <w:p w14:paraId="47C43D20" w14:textId="4E69C70C" w:rsidR="00F7523F" w:rsidRDefault="00F7523F" w:rsidP="00F45E90">
      <w:pPr>
        <w:rPr>
          <w:b/>
          <w:bCs/>
          <w:lang w:eastAsia="en-GB"/>
        </w:rPr>
      </w:pPr>
    </w:p>
    <w:p w14:paraId="4670E23E" w14:textId="54719859" w:rsidR="00F7523F" w:rsidRPr="00F7523F" w:rsidRDefault="00F7523F" w:rsidP="00F7523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8" w:name="NO9"/>
      <w:r>
        <w:rPr>
          <w:b/>
          <w:bCs/>
          <w:lang w:val="en-US" w:eastAsia="en-GB"/>
        </w:rPr>
        <w:t>9.</w:t>
      </w:r>
      <w:r w:rsidRPr="00F7523F">
        <w:rPr>
          <w:b/>
          <w:bCs/>
          <w:lang w:val="en-US" w:eastAsia="en-GB"/>
        </w:rPr>
        <w:t>URGENT: Trust Registration Requirements</w:t>
      </w:r>
      <w:r w:rsidRPr="00F7523F">
        <w:rPr>
          <w:b/>
          <w:bCs/>
          <w:lang w:val="en-US"/>
        </w:rPr>
        <w:t xml:space="preserve"> </w:t>
      </w:r>
      <w:r w:rsidRPr="00F7523F">
        <w:rPr>
          <w:b/>
          <w:bCs/>
        </w:rPr>
        <w:t xml:space="preserve">- INFORMATION SHARED FROM GPDF </w:t>
      </w:r>
    </w:p>
    <w:bookmarkEnd w:id="8"/>
    <w:p w14:paraId="73A42F39" w14:textId="77777777" w:rsidR="00F7523F" w:rsidRPr="00F7523F" w:rsidRDefault="00F7523F" w:rsidP="00F7523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F7523F">
        <w:t>You will be aware that on 1 September 2022 there will be a requirement for Trusts to Register with HMRC and that this will likely affect some practices, PCNs, Federations and possibly LMCs.</w:t>
      </w:r>
    </w:p>
    <w:p w14:paraId="7CB4A194" w14:textId="77777777" w:rsidR="00F7523F" w:rsidRPr="00F7523F" w:rsidRDefault="00F7523F" w:rsidP="00F7523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F7523F">
        <w:t>The GPDF has commissioned an advice note which will be distributed as soon as we are able, but this will not be before the deadline of 1 September.</w:t>
      </w:r>
    </w:p>
    <w:p w14:paraId="38A79EFB" w14:textId="77777777" w:rsidR="00F7523F" w:rsidRPr="00F7523F" w:rsidRDefault="00F7523F" w:rsidP="00F7523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F7523F">
        <w:t>The website of the Institute of Chartered Accountants in England and Wales contains information from HMRC on failure to Register or late registration which you may find helpful:</w:t>
      </w:r>
    </w:p>
    <w:p w14:paraId="118AD289" w14:textId="77777777" w:rsidR="00F7523F" w:rsidRPr="00F7523F" w:rsidRDefault="00F7523F" w:rsidP="00F7523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F7523F">
        <w:t>In recognition of the fact that the registration requirement is a new and unfamiliar obligation for many trustees, there will be no penalty for a first offence of failure to register or late registration of a trust. The exception is when that failure is shown to be due to deliberate behaviour on the part of the trustees. In that case, or where there are repeated failures, a £5,000 penalty may be charged per offence.</w:t>
      </w:r>
    </w:p>
    <w:p w14:paraId="15BB92F6" w14:textId="77777777" w:rsidR="00F7523F" w:rsidRPr="00F7523F" w:rsidRDefault="00F7523F" w:rsidP="00F7523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F7523F">
        <w:t>In practice, this means that, should HMRC become aware of a trust which has not been registered by the relevant deadline – either because that trust has been registered late or because HMRC has identified that trust’s existence by other means – HMRC may issue a warning letter to the trustee or agent. It would usually only charge a penalty if that letter were not acted on.</w:t>
      </w:r>
    </w:p>
    <w:p w14:paraId="58019BE4" w14:textId="77777777" w:rsidR="00F7523F" w:rsidRPr="00F7523F" w:rsidRDefault="00F7523F" w:rsidP="00F7523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F7523F">
        <w:t xml:space="preserve">The website contains other relevant information and can be accessed at: </w:t>
      </w:r>
      <w:hyperlink r:id="rId31" w:history="1">
        <w:r w:rsidRPr="00F7523F">
          <w:rPr>
            <w:rStyle w:val="Hyperlink"/>
          </w:rPr>
          <w:t>https://www.icaew.com/insights/tax-news/2022/aug-2022/hmrc-updates-trs-manual-in-advance-of-1-september-deadline</w:t>
        </w:r>
      </w:hyperlink>
      <w:r w:rsidRPr="00F7523F">
        <w:t xml:space="preserve"> </w:t>
      </w:r>
    </w:p>
    <w:p w14:paraId="50C66054" w14:textId="77777777" w:rsidR="00F7523F" w:rsidRPr="00F7523F" w:rsidRDefault="00F7523F" w:rsidP="00F7523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F7523F">
        <w:t xml:space="preserve">LMCs will wish to distribute this message to </w:t>
      </w:r>
      <w:proofErr w:type="gramStart"/>
      <w:r w:rsidRPr="00F7523F">
        <w:t>practices</w:t>
      </w:r>
      <w:proofErr w:type="gramEnd"/>
      <w:r w:rsidRPr="00F7523F">
        <w:t xml:space="preserve"> and we will update you as soon as we are able to provide more information.  GPDF is unable to answer individual queries which should be taken up with the appropriate professional advisers.</w:t>
      </w:r>
    </w:p>
    <w:p w14:paraId="26405253" w14:textId="77777777" w:rsidR="00F7523F" w:rsidRDefault="00F7523F" w:rsidP="00F45E90">
      <w:pPr>
        <w:rPr>
          <w:b/>
          <w:bCs/>
          <w:lang w:eastAsia="en-GB"/>
        </w:rPr>
      </w:pPr>
    </w:p>
    <w:p w14:paraId="6EF2B2EA" w14:textId="12EC061D" w:rsidR="00F45E90" w:rsidRDefault="00F7523F"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9" w:name="NU10"/>
      <w:r>
        <w:rPr>
          <w:b/>
          <w:bCs/>
        </w:rPr>
        <w:t>10. Trust</w:t>
      </w:r>
      <w:r w:rsidR="00F45E90">
        <w:rPr>
          <w:b/>
          <w:bCs/>
        </w:rPr>
        <w:t xml:space="preserve"> registration requirements</w:t>
      </w:r>
    </w:p>
    <w:bookmarkEnd w:id="9"/>
    <w:p w14:paraId="6FC6AB3F"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On 10 January 2020, the Fifth Money Laundering Directive (5MLD) was transposed into UK law. One objective of the 5MLD was to broaden the scope of trusts required to comply with and sign up to the Trust Register Service (TRS), which may apply to some GP surgeries depending on how they are structured.</w:t>
      </w:r>
    </w:p>
    <w:p w14:paraId="33A493FD"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lastRenderedPageBreak/>
        <w:t> </w:t>
      </w:r>
    </w:p>
    <w:p w14:paraId="4BCE0D60"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FF0000"/>
        </w:rPr>
      </w:pPr>
      <w:r>
        <w:rPr>
          <w:b/>
          <w:bCs/>
          <w:color w:val="FF0000"/>
        </w:rPr>
        <w:t xml:space="preserve">Property-owning GP partners may be required to register, particularly where the names on the land registry entry do not match the names of the property-owning partners, or where there are more than five surgery-owning partners. Similarly, and depending on the precise wording of your Primary Care Network (PCN) agreement, monies held by one practice on behalf of a PCN could be construed as the formation of a trust and may trigger a registration requirement. </w:t>
      </w:r>
    </w:p>
    <w:p w14:paraId="3AE40C1E"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59B1B87C"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Unless exempt, 5MLD requires the express trusts to register with the TRS. HMRC has published </w:t>
      </w:r>
      <w:hyperlink r:id="rId32" w:history="1">
        <w:r>
          <w:rPr>
            <w:rStyle w:val="Hyperlink"/>
          </w:rPr>
          <w:t>guidance on what may constitute an express trust</w:t>
        </w:r>
      </w:hyperlink>
      <w:r>
        <w:t xml:space="preserve"> and </w:t>
      </w:r>
      <w:hyperlink r:id="rId33" w:history="1">
        <w:r>
          <w:rPr>
            <w:rStyle w:val="Hyperlink"/>
          </w:rPr>
          <w:t>instances where exemptions may apply</w:t>
        </w:r>
      </w:hyperlink>
      <w:r>
        <w:t>.</w:t>
      </w:r>
    </w:p>
    <w:p w14:paraId="11FF41DE"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w:t>
      </w:r>
    </w:p>
    <w:p w14:paraId="088EACCE"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FF0000"/>
        </w:rPr>
      </w:pPr>
      <w:r>
        <w:rPr>
          <w:b/>
          <w:bCs/>
          <w:color w:val="FF0000"/>
        </w:rPr>
        <w:t>If you are unsure whether you need to register with the TRS, it is important that you receive independent legal advice, as a failure to register may result in financial and criminal penalties. The deadline for registration is 1 September 2022.</w:t>
      </w:r>
    </w:p>
    <w:p w14:paraId="6488156E" w14:textId="77777777" w:rsidR="00F45E90" w:rsidRDefault="00F45E90" w:rsidP="00F45E90">
      <w:pPr>
        <w:rPr>
          <w:b/>
          <w:bCs/>
        </w:rPr>
      </w:pPr>
    </w:p>
    <w:p w14:paraId="53AAF873" w14:textId="080097B5" w:rsidR="00F45E90" w:rsidRDefault="009E3A92"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0" w:name="NU11"/>
      <w:r>
        <w:rPr>
          <w:b/>
          <w:bCs/>
        </w:rPr>
        <w:t>1</w:t>
      </w:r>
      <w:r w:rsidR="00F7523F">
        <w:rPr>
          <w:b/>
          <w:bCs/>
        </w:rPr>
        <w:t>1.</w:t>
      </w:r>
      <w:r w:rsidR="00F45E90">
        <w:rPr>
          <w:b/>
          <w:bCs/>
        </w:rPr>
        <w:t>Section 49 report guidance</w:t>
      </w:r>
    </w:p>
    <w:bookmarkEnd w:id="10"/>
    <w:p w14:paraId="610A254C"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Under section 49 of the </w:t>
      </w:r>
      <w:r>
        <w:rPr>
          <w:i/>
          <w:iCs/>
        </w:rPr>
        <w:t>Mental Capacity Act</w:t>
      </w:r>
      <w:r>
        <w:t> 2005 (the “</w:t>
      </w:r>
      <w:r>
        <w:rPr>
          <w:i/>
          <w:iCs/>
        </w:rPr>
        <w:t>MCA</w:t>
      </w:r>
      <w:r>
        <w:t xml:space="preserve">”), the Court of Protection (the “CoP”) may require NHS health bodies and local authorities to arrange for a report to be made for the purpose of considering any question relating to someone who may lack capacity. Producing a report is a complex process involving assessing the patient, reviewing notes, discussing with relevant professionals and compiling information. The amount of time required to review a long and complex set of medical records presented can be significant. </w:t>
      </w:r>
    </w:p>
    <w:p w14:paraId="5D45C66D"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58DA1A10"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The definition of ‘NHS body’ does not include GP practices, even if their contractor CCGs/PCOs are. Therefore, practices cannot be directly ordered by the Court of Protection to produce a report under section 49.  </w:t>
      </w:r>
    </w:p>
    <w:p w14:paraId="4226C92E"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6500BCBB"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Although it is possible for an NHS body (e.g. an NHS Trust) that had been ordered to arrange for a report to be made to request that someone else produce a report (under section 49(3)), </w:t>
      </w:r>
      <w:proofErr w:type="spellStart"/>
      <w:r>
        <w:t>e.g</w:t>
      </w:r>
      <w:proofErr w:type="spellEnd"/>
      <w:r>
        <w:t xml:space="preserve"> a GP -   in doing so, the trust </w:t>
      </w:r>
      <w:r>
        <w:rPr>
          <w:i/>
          <w:iCs/>
        </w:rPr>
        <w:t>cannot compel a GP as an independent practitioner to do the work</w:t>
      </w:r>
      <w:r>
        <w:t xml:space="preserve"> and if the GP agrees to do the work, he/she is entitled to be paid a rate agreeable to the GP.</w:t>
      </w:r>
    </w:p>
    <w:p w14:paraId="685535A9"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27F88B88"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Read more in this </w:t>
      </w:r>
      <w:hyperlink r:id="rId34" w:history="1">
        <w:r>
          <w:rPr>
            <w:rStyle w:val="Hyperlink"/>
          </w:rPr>
          <w:t>guidance</w:t>
        </w:r>
      </w:hyperlink>
      <w:r>
        <w:t xml:space="preserve"> by the BMA’s </w:t>
      </w:r>
      <w:hyperlink r:id="rId35" w:history="1">
        <w:r>
          <w:rPr>
            <w:rStyle w:val="Hyperlink"/>
          </w:rPr>
          <w:t>Medico Legal Committee</w:t>
        </w:r>
      </w:hyperlink>
      <w:r>
        <w:t xml:space="preserve"> </w:t>
      </w:r>
    </w:p>
    <w:p w14:paraId="050DB2E8" w14:textId="77777777" w:rsidR="00F45E90" w:rsidRDefault="00F45E90" w:rsidP="00F45E90">
      <w:pPr>
        <w:rPr>
          <w:b/>
          <w:bCs/>
        </w:rPr>
      </w:pPr>
    </w:p>
    <w:p w14:paraId="7995213B" w14:textId="457A2075" w:rsidR="00F45E90" w:rsidRDefault="009E3A92"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1" w:name="NU12"/>
      <w:r>
        <w:rPr>
          <w:b/>
          <w:bCs/>
        </w:rPr>
        <w:t>1</w:t>
      </w:r>
      <w:r w:rsidR="00F7523F">
        <w:rPr>
          <w:b/>
          <w:bCs/>
        </w:rPr>
        <w:t>2</w:t>
      </w:r>
      <w:r>
        <w:rPr>
          <w:b/>
          <w:bCs/>
        </w:rPr>
        <w:t>.</w:t>
      </w:r>
      <w:r w:rsidR="00F45E90">
        <w:rPr>
          <w:b/>
          <w:bCs/>
        </w:rPr>
        <w:t>Research priority setting with the General Practice Workforce Survey</w:t>
      </w:r>
    </w:p>
    <w:bookmarkEnd w:id="11"/>
    <w:p w14:paraId="6928C20D"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lastRenderedPageBreak/>
        <w:t xml:space="preserve">The School of Health Sciences, University of Surrey is conducting a short national survey to identify and prioritise a shortlist of service delivery challenges that require further research, as identified by the general practice workforce. Study findings will be used to ensure that future research seeks to address areas of unmet need, as determined by the workforce. </w:t>
      </w:r>
    </w:p>
    <w:p w14:paraId="5BA96308" w14:textId="77777777" w:rsidR="00F45E90"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6CCA7263" w14:textId="7CBE540C" w:rsidR="00F45E90" w:rsidRPr="009E3A92" w:rsidRDefault="00F45E90" w:rsidP="00F45E9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The survey asks three key questions from a workforce perspective: (1) what is working well in general practice; (2) where </w:t>
      </w:r>
      <w:r w:rsidR="009E3A92">
        <w:t>the challenges are</w:t>
      </w:r>
      <w:r>
        <w:t xml:space="preserve">; and (3) what needs fixing, as well as basic demographic information. The survey is open to all clinical and </w:t>
      </w:r>
      <w:r w:rsidR="009E3A92">
        <w:t>non-clinical</w:t>
      </w:r>
      <w:r>
        <w:t xml:space="preserve"> staff in UK General Practice. Take the 10 minute survey </w:t>
      </w:r>
      <w:hyperlink r:id="rId36" w:history="1">
        <w:r>
          <w:rPr>
            <w:rStyle w:val="Hyperlink"/>
          </w:rPr>
          <w:t>here</w:t>
        </w:r>
      </w:hyperlink>
      <w:r>
        <w:t xml:space="preserve"> (Deadline: 23 September 2022)</w:t>
      </w:r>
    </w:p>
    <w:p w14:paraId="3A9F7675" w14:textId="77777777" w:rsidR="002B26EA" w:rsidRDefault="002B26EA" w:rsidP="003515F9">
      <w:pPr>
        <w:spacing w:before="240"/>
        <w:rPr>
          <w:rFonts w:cstheme="minorHAnsi"/>
          <w:b/>
          <w:bCs/>
          <w:color w:val="0000FF"/>
          <w:sz w:val="21"/>
          <w:szCs w:val="21"/>
          <w:lang w:eastAsia="en-GB"/>
        </w:rPr>
      </w:pPr>
    </w:p>
    <w:p w14:paraId="342F23FA" w14:textId="0B7DFAD0" w:rsidR="009E3A92" w:rsidRPr="009E3A92" w:rsidRDefault="009E3A92" w:rsidP="009E3A92">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after="150" w:line="300" w:lineRule="auto"/>
        <w:rPr>
          <w:rFonts w:cstheme="minorHAnsi"/>
          <w:lang w:eastAsia="en-GB"/>
        </w:rPr>
      </w:pPr>
      <w:bookmarkStart w:id="12" w:name="NU13"/>
      <w:r w:rsidRPr="009E3A92">
        <w:rPr>
          <w:rFonts w:cstheme="minorHAnsi"/>
          <w:b/>
          <w:bCs/>
          <w:color w:val="000000" w:themeColor="text1"/>
          <w:lang w:eastAsia="en-GB"/>
        </w:rPr>
        <w:t>1</w:t>
      </w:r>
      <w:r w:rsidR="00F7523F">
        <w:rPr>
          <w:rFonts w:cstheme="minorHAnsi"/>
          <w:b/>
          <w:bCs/>
          <w:color w:val="000000" w:themeColor="text1"/>
          <w:lang w:eastAsia="en-GB"/>
        </w:rPr>
        <w:t>3</w:t>
      </w:r>
      <w:r w:rsidRPr="009E3A92">
        <w:rPr>
          <w:rFonts w:cstheme="minorHAnsi"/>
          <w:b/>
          <w:bCs/>
          <w:color w:val="000000" w:themeColor="text1"/>
          <w:lang w:eastAsia="en-GB"/>
        </w:rPr>
        <w:t>.Updated: Your websites</w:t>
      </w:r>
      <w:bookmarkEnd w:id="12"/>
      <w:r w:rsidRPr="009E3A92">
        <w:rPr>
          <w:rFonts w:cstheme="minorHAnsi"/>
          <w:color w:val="222222"/>
          <w:lang w:eastAsia="en-GB"/>
        </w:rPr>
        <w:br/>
        <w:t>To support practices </w:t>
      </w:r>
      <w:proofErr w:type="spellStart"/>
      <w:r w:rsidRPr="009E3A92">
        <w:rPr>
          <w:rFonts w:cstheme="minorHAnsi"/>
          <w:color w:val="222222"/>
          <w:lang w:eastAsia="en-GB"/>
        </w:rPr>
        <w:t>Redmoor</w:t>
      </w:r>
      <w:proofErr w:type="spellEnd"/>
      <w:r w:rsidRPr="009E3A92">
        <w:rPr>
          <w:rFonts w:cstheme="minorHAnsi"/>
          <w:color w:val="222222"/>
          <w:lang w:eastAsia="en-GB"/>
        </w:rPr>
        <w:t xml:space="preserve"> Health have been commissioned by the ICB to help improve digital maturity across the area through the use of the </w:t>
      </w:r>
      <w:hyperlink r:id="rId37" w:tooltip="https://digitaljourneyplanner.co.uk/" w:history="1">
        <w:r w:rsidRPr="009E3A92">
          <w:rPr>
            <w:rStyle w:val="Hyperlink"/>
            <w:rFonts w:cstheme="minorHAnsi"/>
            <w:color w:val="005EB8"/>
            <w:lang w:eastAsia="en-GB"/>
          </w:rPr>
          <w:t>Digital Journey Planner </w:t>
        </w:r>
      </w:hyperlink>
      <w:r w:rsidRPr="009E3A92">
        <w:rPr>
          <w:rFonts w:cstheme="minorHAnsi"/>
          <w:color w:val="222222"/>
          <w:lang w:eastAsia="en-GB"/>
        </w:rPr>
        <w:t>(DJP) tool. The DJP has been designed to develop digital skills and technology within practices including a range of resources such as website - content, layout and usability. We have scheduled two launch webinar sessions on the following dates to help get you started with the DJP:</w:t>
      </w:r>
    </w:p>
    <w:p w14:paraId="0F83EF89" w14:textId="77777777" w:rsidR="009E3A92" w:rsidRPr="009E3A92" w:rsidRDefault="00000000" w:rsidP="009E3A92">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000000" w:themeColor="text1"/>
          <w:lang w:eastAsia="en-GB"/>
        </w:rPr>
      </w:pPr>
      <w:hyperlink r:id="rId38" w:tooltip="https://teams.microsoft.com/registration/7zHYsigClEaueEFz-XSUrQ,o-mdJ05ogkqhC3X1bcag7A,qJhGSGe1oUSwxCgePMfoNA,iCR_Uk1vA0SHVxWKiNu9Jw,dTC5dUvBe0iSZMJSVra4BA,sXCGE-TdW0SZPJKZmhHcXQ?mode=read&amp;tenantId=b2d831ef-0228-4694-ae78-4173f97494ad" w:history="1">
        <w:r w:rsidR="009E3A92" w:rsidRPr="009E3A92">
          <w:rPr>
            <w:rStyle w:val="Hyperlink"/>
            <w:rFonts w:eastAsia="Times New Roman" w:cstheme="minorHAnsi"/>
            <w:b/>
            <w:bCs/>
            <w:color w:val="000000" w:themeColor="text1"/>
            <w:u w:val="none"/>
            <w:lang w:eastAsia="en-GB"/>
          </w:rPr>
          <w:t>BSOL Digital Journey Planner Launch Session 15/9/2022 11-12pm</w:t>
        </w:r>
      </w:hyperlink>
    </w:p>
    <w:p w14:paraId="538919B5" w14:textId="77777777" w:rsidR="009E3A92" w:rsidRPr="009E3A92" w:rsidRDefault="00000000" w:rsidP="009E3A92">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000000" w:themeColor="text1"/>
          <w:lang w:eastAsia="en-GB"/>
        </w:rPr>
      </w:pPr>
      <w:hyperlink r:id="rId39" w:tooltip="https://teams.microsoft.com/registration/7zHYsigClEaueEFz-XSUrQ,o-mdJ05ogkqhC3X1bcag7A,qJhGSGe1oUSwxCgePMfoNA,NzkH9tl2VEagHOOcDC1iKw,_0FEM_KIJUuZ0bZaAdltqg,K8JiV3S5Q0OjJrJWV5d7kQ?mode=read&amp;tenantId=b2d831ef-0228-4694-ae78-4173f97494ad" w:history="1">
        <w:r w:rsidR="009E3A92" w:rsidRPr="009E3A92">
          <w:rPr>
            <w:rStyle w:val="Hyperlink"/>
            <w:rFonts w:eastAsia="Times New Roman" w:cstheme="minorHAnsi"/>
            <w:b/>
            <w:bCs/>
            <w:color w:val="000000" w:themeColor="text1"/>
            <w:u w:val="none"/>
            <w:lang w:eastAsia="en-GB"/>
          </w:rPr>
          <w:t>BSOL Digital Journey Planner Launch Session 22/9/022 11-12pm</w:t>
        </w:r>
      </w:hyperlink>
    </w:p>
    <w:p w14:paraId="4DAC24C5" w14:textId="77777777" w:rsidR="009E3A92" w:rsidRPr="009E3A92" w:rsidRDefault="009E3A92" w:rsidP="009E3A92">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line="300" w:lineRule="auto"/>
        <w:rPr>
          <w:rFonts w:cstheme="minorHAnsi"/>
          <w:lang w:eastAsia="en-GB"/>
        </w:rPr>
      </w:pPr>
      <w:r w:rsidRPr="009E3A92">
        <w:rPr>
          <w:rFonts w:cstheme="minorHAnsi"/>
          <w:color w:val="222222"/>
          <w:lang w:eastAsia="en-GB"/>
        </w:rPr>
        <w:t> </w:t>
      </w:r>
      <w:r w:rsidRPr="009E3A92">
        <w:rPr>
          <w:rFonts w:cstheme="minorHAnsi"/>
          <w:color w:val="222222"/>
          <w:lang w:eastAsia="en-GB"/>
        </w:rPr>
        <w:br/>
        <w:t xml:space="preserve">There are additional training sessions on the following dates: </w:t>
      </w:r>
    </w:p>
    <w:p w14:paraId="600B889C" w14:textId="77777777" w:rsidR="009E3A92" w:rsidRPr="009E3A92" w:rsidRDefault="00000000" w:rsidP="009E3A92">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hyperlink r:id="rId40" w:tooltip="https://teams.microsoft.com/registration/7zHYsigClEaueEFz-XSUrQ,o-mdJ05ogkqhC3X1bcag7A,qJhGSGe1oUSwxCgePMfoNA,9jRMsdvuH0-fP4uUIQBo8Q,TuSBWHNwnUuNil5BWI_f5g,D-B0AY6GJESoj6k3GPOeKg?mode=read&amp;tenantId=b2d831ef-0228-4694-ae78-4173f97494ad" w:history="1">
        <w:r w:rsidR="009E3A92" w:rsidRPr="009E3A92">
          <w:rPr>
            <w:rStyle w:val="Hyperlink"/>
            <w:rFonts w:eastAsia="Times New Roman" w:cstheme="minorHAnsi"/>
            <w:color w:val="005EB8"/>
            <w:lang w:eastAsia="en-GB"/>
          </w:rPr>
          <w:t>Improving your Digital Front Door - 21st September 12:30-1:30pm</w:t>
        </w:r>
      </w:hyperlink>
    </w:p>
    <w:p w14:paraId="3584A9DB" w14:textId="77777777" w:rsidR="009E3A92" w:rsidRPr="009E3A92" w:rsidRDefault="00000000" w:rsidP="009E3A92">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hyperlink r:id="rId41" w:tooltip="https://teams.microsoft.com/registration/7zHYsigClEaueEFz-XSUrQ,o-mdJ05ogkqhC3X1bcag7A,qJhGSGe1oUSwxCgePMfoNA,HZz8k-ueNUScoYidghuqlw,4pUB1Y-j-ka36pyJCEvqow,JCsDa9XCIk2VDZE-6LhQ2A?mode=read&amp;tenantId=b2d831ef-0228-4694-ae78-4173f97494ad" w:history="1">
        <w:r w:rsidR="009E3A92" w:rsidRPr="009E3A92">
          <w:rPr>
            <w:rStyle w:val="Hyperlink"/>
            <w:rFonts w:eastAsia="Times New Roman" w:cstheme="minorHAnsi"/>
            <w:color w:val="005EB8"/>
            <w:lang w:eastAsia="en-GB"/>
          </w:rPr>
          <w:t>Social Media in Primary Care - 11th October 12:30-1:30pm</w:t>
        </w:r>
      </w:hyperlink>
    </w:p>
    <w:p w14:paraId="1D1C6446" w14:textId="77777777" w:rsidR="009E3A92" w:rsidRPr="009E3A92" w:rsidRDefault="009E3A92" w:rsidP="009E3A92">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line="300" w:lineRule="auto"/>
        <w:rPr>
          <w:rFonts w:cstheme="minorHAnsi"/>
          <w:color w:val="222222"/>
          <w:lang w:eastAsia="en-GB"/>
        </w:rPr>
      </w:pPr>
    </w:p>
    <w:p w14:paraId="3D750097" w14:textId="0997BC38" w:rsidR="009E3A92" w:rsidRPr="009E3A92" w:rsidRDefault="009E3A92" w:rsidP="009E3A92">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spacing w:line="300" w:lineRule="auto"/>
        <w:rPr>
          <w:rFonts w:cstheme="minorHAnsi"/>
          <w:lang w:eastAsia="en-GB"/>
        </w:rPr>
      </w:pPr>
      <w:r w:rsidRPr="009E3A92">
        <w:rPr>
          <w:rFonts w:cstheme="minorHAnsi"/>
          <w:color w:val="222222"/>
          <w:lang w:eastAsia="en-GB"/>
        </w:rPr>
        <w:t>Other topic-based webinars and recordings are available on the link below, and 1:1 support is available to all practices by emailing </w:t>
      </w:r>
      <w:hyperlink r:id="rId42" w:history="1">
        <w:r w:rsidRPr="009E3A92">
          <w:rPr>
            <w:rStyle w:val="Hyperlink"/>
            <w:rFonts w:cstheme="minorHAnsi"/>
            <w:color w:val="005EB8"/>
            <w:lang w:eastAsia="en-GB"/>
          </w:rPr>
          <w:t>hello@redmoorhealth.co.uk</w:t>
        </w:r>
      </w:hyperlink>
      <w:r w:rsidRPr="009E3A92">
        <w:rPr>
          <w:rFonts w:cstheme="minorHAnsi"/>
          <w:color w:val="222222"/>
          <w:lang w:eastAsia="en-GB"/>
        </w:rPr>
        <w:t xml:space="preserve"> </w:t>
      </w:r>
    </w:p>
    <w:p w14:paraId="4CA46604" w14:textId="77777777" w:rsidR="009E3A92" w:rsidRPr="009E3A92" w:rsidRDefault="00000000" w:rsidP="009E3A92">
      <w:pPr>
        <w:pBdr>
          <w:top w:val="thickThinSmallGap" w:sz="24" w:space="1" w:color="2F5496" w:themeColor="accent1" w:themeShade="BF"/>
          <w:left w:val="thickThinSmallGap" w:sz="24" w:space="0"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222222"/>
          <w:lang w:eastAsia="en-GB"/>
        </w:rPr>
      </w:pPr>
      <w:hyperlink r:id="rId43" w:anchor="events" w:history="1">
        <w:r w:rsidR="009E3A92" w:rsidRPr="009E3A92">
          <w:rPr>
            <w:rStyle w:val="Hyperlink"/>
            <w:rFonts w:cstheme="minorHAnsi"/>
            <w:color w:val="005EB8"/>
            <w:lang w:eastAsia="en-GB"/>
          </w:rPr>
          <w:t>Topic Based Webinars and Recordings</w:t>
        </w:r>
      </w:hyperlink>
    </w:p>
    <w:p w14:paraId="59EA7407" w14:textId="77777777" w:rsidR="009E3A92" w:rsidRDefault="009E3A92" w:rsidP="009E3A92">
      <w:pPr>
        <w:rPr>
          <w:rFonts w:ascii="Helvetica" w:hAnsi="Helvetica" w:cs="Helvetica"/>
          <w:b/>
          <w:bCs/>
          <w:color w:val="222222"/>
          <w:sz w:val="21"/>
          <w:szCs w:val="21"/>
          <w:lang w:eastAsia="en-GB"/>
        </w:rPr>
      </w:pPr>
    </w:p>
    <w:p w14:paraId="127222D0" w14:textId="77777777" w:rsidR="009E3A92" w:rsidRDefault="009E3A92" w:rsidP="009E3A92">
      <w:pPr>
        <w:rPr>
          <w:rFonts w:ascii="Helvetica" w:hAnsi="Helvetica" w:cs="Helvetica"/>
          <w:b/>
          <w:bCs/>
          <w:color w:val="222222"/>
          <w:sz w:val="21"/>
          <w:szCs w:val="21"/>
          <w:lang w:eastAsia="en-GB"/>
        </w:rPr>
      </w:pPr>
    </w:p>
    <w:p w14:paraId="3FAE391D" w14:textId="09E16654" w:rsidR="009E3A92" w:rsidRPr="009E3A92" w:rsidRDefault="009E3A92" w:rsidP="009E3A9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13" w:name="NU14"/>
      <w:r>
        <w:rPr>
          <w:rFonts w:cstheme="minorHAnsi"/>
          <w:b/>
          <w:bCs/>
          <w:color w:val="030303"/>
          <w:position w:val="17"/>
          <w:lang w:eastAsia="en-GB"/>
        </w:rPr>
        <w:t>1</w:t>
      </w:r>
      <w:r w:rsidR="00F7523F">
        <w:rPr>
          <w:rFonts w:cstheme="minorHAnsi"/>
          <w:b/>
          <w:bCs/>
          <w:color w:val="030303"/>
          <w:position w:val="17"/>
          <w:lang w:eastAsia="en-GB"/>
        </w:rPr>
        <w:t>4</w:t>
      </w:r>
      <w:r>
        <w:rPr>
          <w:rFonts w:cstheme="minorHAnsi"/>
          <w:b/>
          <w:bCs/>
          <w:color w:val="030303"/>
          <w:position w:val="17"/>
          <w:lang w:eastAsia="en-GB"/>
        </w:rPr>
        <w:t>.</w:t>
      </w:r>
      <w:r w:rsidRPr="009E3A92">
        <w:rPr>
          <w:rFonts w:cstheme="minorHAnsi"/>
          <w:b/>
          <w:bCs/>
          <w:color w:val="030303"/>
          <w:position w:val="17"/>
          <w:lang w:eastAsia="en-GB"/>
        </w:rPr>
        <w:t>Supporting GP practices in offering patients access to their future health information</w:t>
      </w:r>
    </w:p>
    <w:bookmarkEnd w:id="13"/>
    <w:p w14:paraId="19D1E62E" w14:textId="77777777" w:rsidR="009E3A92" w:rsidRPr="009E3A92" w:rsidRDefault="009E3A92" w:rsidP="009E3A9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9E3A92">
        <w:rPr>
          <w:rFonts w:cstheme="minorHAnsi"/>
          <w:color w:val="030303"/>
          <w:position w:val="17"/>
          <w:lang w:eastAsia="en-GB"/>
        </w:rPr>
        <w:t>In just over two months, patients with online accounts, such as through the NHS App, will be able to read new entries in their health records. This applies to patients whose practices use the TPP and EMIS systems (practices using Vision [</w:t>
      </w:r>
      <w:proofErr w:type="spellStart"/>
      <w:r w:rsidRPr="009E3A92">
        <w:rPr>
          <w:rFonts w:cstheme="minorHAnsi"/>
          <w:color w:val="030303"/>
          <w:position w:val="17"/>
          <w:lang w:eastAsia="en-GB"/>
        </w:rPr>
        <w:t>Cegedim</w:t>
      </w:r>
      <w:proofErr w:type="spellEnd"/>
      <w:r w:rsidRPr="009E3A92">
        <w:rPr>
          <w:rFonts w:cstheme="minorHAnsi"/>
          <w:color w:val="030303"/>
          <w:position w:val="17"/>
          <w:lang w:eastAsia="en-GB"/>
        </w:rPr>
        <w:t xml:space="preserve">] clinical system </w:t>
      </w:r>
      <w:proofErr w:type="gramStart"/>
      <w:r w:rsidRPr="009E3A92">
        <w:rPr>
          <w:rFonts w:cstheme="minorHAnsi"/>
          <w:color w:val="030303"/>
          <w:position w:val="17"/>
          <w:lang w:eastAsia="en-GB"/>
        </w:rPr>
        <w:t>are</w:t>
      </w:r>
      <w:proofErr w:type="gramEnd"/>
      <w:r w:rsidRPr="009E3A92">
        <w:rPr>
          <w:rFonts w:cstheme="minorHAnsi"/>
          <w:color w:val="030303"/>
          <w:position w:val="17"/>
          <w:lang w:eastAsia="en-GB"/>
        </w:rPr>
        <w:t xml:space="preserve"> under discussion).</w:t>
      </w:r>
    </w:p>
    <w:p w14:paraId="2478219E" w14:textId="77777777" w:rsidR="009E3A92" w:rsidRPr="009E3A92" w:rsidRDefault="009E3A92" w:rsidP="009E3A9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9E3A92">
        <w:rPr>
          <w:rFonts w:cstheme="minorHAnsi"/>
          <w:color w:val="030303"/>
          <w:position w:val="17"/>
          <w:lang w:eastAsia="en-GB"/>
        </w:rPr>
        <w:lastRenderedPageBreak/>
        <w:t xml:space="preserve">We recently </w:t>
      </w:r>
      <w:hyperlink r:id="rId44" w:history="1">
        <w:r w:rsidRPr="009E3A92">
          <w:rPr>
            <w:rStyle w:val="Hyperlink"/>
            <w:rFonts w:cstheme="minorHAnsi"/>
            <w:color w:val="005EB8"/>
            <w:position w:val="17"/>
            <w:lang w:eastAsia="en-GB"/>
          </w:rPr>
          <w:t>wrote to general practice staff</w:t>
        </w:r>
      </w:hyperlink>
      <w:r w:rsidRPr="009E3A92">
        <w:rPr>
          <w:rFonts w:cstheme="minorHAnsi"/>
          <w:color w:val="030303"/>
          <w:position w:val="17"/>
          <w:lang w:eastAsia="en-GB"/>
        </w:rPr>
        <w:t xml:space="preserve"> to detail the need to prepare for this change and the support available, including  an updated </w:t>
      </w:r>
      <w:hyperlink r:id="rId45" w:history="1">
        <w:r w:rsidRPr="009E3A92">
          <w:rPr>
            <w:rStyle w:val="Hyperlink"/>
            <w:rFonts w:cstheme="minorHAnsi"/>
            <w:color w:val="005EB8"/>
            <w:position w:val="17"/>
            <w:lang w:eastAsia="en-GB"/>
          </w:rPr>
          <w:t>RCGP GP Online Services toolkit</w:t>
        </w:r>
      </w:hyperlink>
      <w:r w:rsidRPr="009E3A92">
        <w:rPr>
          <w:rFonts w:cstheme="minorHAnsi"/>
          <w:color w:val="030303"/>
          <w:position w:val="17"/>
          <w:lang w:eastAsia="en-GB"/>
        </w:rPr>
        <w:t>, </w:t>
      </w:r>
      <w:hyperlink r:id="rId46" w:history="1">
        <w:r w:rsidRPr="009E3A92">
          <w:rPr>
            <w:rStyle w:val="Hyperlink"/>
            <w:rFonts w:cstheme="minorHAnsi"/>
            <w:color w:val="005EB8"/>
            <w:position w:val="17"/>
            <w:lang w:eastAsia="en-GB"/>
          </w:rPr>
          <w:t>videos</w:t>
        </w:r>
      </w:hyperlink>
      <w:r w:rsidRPr="009E3A92">
        <w:rPr>
          <w:rFonts w:cstheme="minorHAnsi"/>
          <w:color w:val="030303"/>
          <w:position w:val="17"/>
          <w:lang w:eastAsia="en-GB"/>
        </w:rPr>
        <w:t xml:space="preserve"> covering key topics, </w:t>
      </w:r>
      <w:hyperlink r:id="rId47" w:history="1">
        <w:r w:rsidRPr="009E3A92">
          <w:rPr>
            <w:rStyle w:val="Hyperlink"/>
            <w:rFonts w:cstheme="minorHAnsi"/>
            <w:color w:val="005EB8"/>
            <w:position w:val="17"/>
            <w:lang w:eastAsia="en-GB"/>
          </w:rPr>
          <w:t>learning from early adopter sites</w:t>
        </w:r>
      </w:hyperlink>
      <w:r w:rsidRPr="009E3A92">
        <w:rPr>
          <w:rFonts w:cstheme="minorHAnsi"/>
          <w:color w:val="030303"/>
          <w:position w:val="17"/>
          <w:lang w:eastAsia="en-GB"/>
        </w:rPr>
        <w:t xml:space="preserve"> and </w:t>
      </w:r>
      <w:hyperlink r:id="rId48" w:history="1">
        <w:r w:rsidRPr="009E3A92">
          <w:rPr>
            <w:rStyle w:val="Hyperlink"/>
            <w:rFonts w:cstheme="minorHAnsi"/>
            <w:color w:val="005EB8"/>
            <w:position w:val="17"/>
            <w:lang w:eastAsia="en-GB"/>
          </w:rPr>
          <w:t>communication materials</w:t>
        </w:r>
      </w:hyperlink>
      <w:r w:rsidRPr="009E3A92">
        <w:rPr>
          <w:rFonts w:cstheme="minorHAnsi"/>
          <w:color w:val="030303"/>
          <w:position w:val="17"/>
          <w:lang w:eastAsia="en-GB"/>
        </w:rPr>
        <w:t xml:space="preserve"> for general practice to use to inform their patients.</w:t>
      </w:r>
    </w:p>
    <w:p w14:paraId="2FAE7900" w14:textId="77777777" w:rsidR="009E3A92" w:rsidRPr="009E3A92" w:rsidRDefault="009E3A92" w:rsidP="009E3A9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9E3A92">
        <w:rPr>
          <w:rFonts w:cstheme="minorHAnsi"/>
          <w:color w:val="030303"/>
          <w:position w:val="17"/>
          <w:lang w:eastAsia="en-GB"/>
        </w:rPr>
        <w:t xml:space="preserve">A </w:t>
      </w:r>
      <w:hyperlink r:id="rId49" w:history="1">
        <w:r w:rsidRPr="009E3A92">
          <w:rPr>
            <w:rStyle w:val="Hyperlink"/>
            <w:rFonts w:cstheme="minorHAnsi"/>
            <w:color w:val="005EB8"/>
            <w:position w:val="17"/>
            <w:lang w:eastAsia="en-GB"/>
          </w:rPr>
          <w:t>GP practice readiness checklist</w:t>
        </w:r>
      </w:hyperlink>
      <w:r w:rsidRPr="009E3A92">
        <w:rPr>
          <w:rFonts w:cstheme="minorHAnsi"/>
          <w:color w:val="030303"/>
          <w:position w:val="17"/>
          <w:lang w:eastAsia="en-GB"/>
        </w:rPr>
        <w:t xml:space="preserve"> has also been produced to help practices ensure they have completed all the necessary actions, such as staff training and reviewing of relevant policies and processes.</w:t>
      </w:r>
    </w:p>
    <w:p w14:paraId="5364BD3B" w14:textId="77777777" w:rsidR="009E3A92" w:rsidRPr="009E3A92" w:rsidRDefault="009E3A92" w:rsidP="009E3A9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9E3A92">
        <w:rPr>
          <w:rFonts w:cstheme="minorHAnsi"/>
          <w:color w:val="030303"/>
          <w:position w:val="17"/>
          <w:lang w:eastAsia="en-GB"/>
        </w:rPr>
        <w:t xml:space="preserve">All staff, including locums, should receive the necessary training with regards to checking and entering information into patient records and familiarise themselves with any change in business processes and GP system functionality. To find out what the changes mean for you and what you need to do next, register for one of the upcoming </w:t>
      </w:r>
      <w:hyperlink r:id="rId50" w:history="1">
        <w:r w:rsidRPr="009E3A92">
          <w:rPr>
            <w:rStyle w:val="Hyperlink"/>
            <w:rFonts w:cstheme="minorHAnsi"/>
            <w:color w:val="005EB8"/>
            <w:position w:val="17"/>
            <w:lang w:eastAsia="en-GB"/>
          </w:rPr>
          <w:t>awareness webinars</w:t>
        </w:r>
      </w:hyperlink>
      <w:r w:rsidRPr="009E3A92">
        <w:rPr>
          <w:rFonts w:cstheme="minorHAnsi"/>
          <w:color w:val="030303"/>
          <w:position w:val="17"/>
          <w:lang w:eastAsia="en-GB"/>
        </w:rPr>
        <w:t>.</w:t>
      </w:r>
    </w:p>
    <w:p w14:paraId="7FB966C3" w14:textId="77777777" w:rsidR="009E3A92" w:rsidRDefault="009E3A92" w:rsidP="009E3A92">
      <w:pPr>
        <w:spacing w:before="300" w:line="315" w:lineRule="atLeast"/>
        <w:textAlignment w:val="center"/>
        <w:rPr>
          <w:rFonts w:ascii="Arial" w:hAnsi="Arial" w:cs="Arial"/>
          <w:b/>
          <w:bCs/>
          <w:color w:val="030303"/>
          <w:position w:val="17"/>
          <w:sz w:val="20"/>
          <w:szCs w:val="20"/>
          <w:lang w:eastAsia="en-GB"/>
        </w:rPr>
      </w:pPr>
    </w:p>
    <w:p w14:paraId="5ABC5E2B" w14:textId="767A1439" w:rsidR="009E3A92" w:rsidRDefault="009E3A92" w:rsidP="009E3A9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ascii="Arial" w:hAnsi="Arial" w:cs="Arial"/>
          <w:color w:val="030303"/>
          <w:position w:val="17"/>
          <w:sz w:val="20"/>
          <w:szCs w:val="20"/>
          <w:lang w:eastAsia="en-GB"/>
        </w:rPr>
      </w:pPr>
      <w:bookmarkStart w:id="14" w:name="NU15"/>
      <w:r>
        <w:rPr>
          <w:rFonts w:ascii="Arial" w:hAnsi="Arial" w:cs="Arial"/>
          <w:b/>
          <w:bCs/>
          <w:color w:val="030303"/>
          <w:position w:val="17"/>
          <w:sz w:val="20"/>
          <w:szCs w:val="20"/>
          <w:lang w:eastAsia="en-GB"/>
        </w:rPr>
        <w:t>1</w:t>
      </w:r>
      <w:r w:rsidR="00F7523F">
        <w:rPr>
          <w:rFonts w:ascii="Arial" w:hAnsi="Arial" w:cs="Arial"/>
          <w:b/>
          <w:bCs/>
          <w:color w:val="030303"/>
          <w:position w:val="17"/>
          <w:sz w:val="20"/>
          <w:szCs w:val="20"/>
          <w:lang w:eastAsia="en-GB"/>
        </w:rPr>
        <w:t>5</w:t>
      </w:r>
      <w:r>
        <w:rPr>
          <w:rFonts w:ascii="Arial" w:hAnsi="Arial" w:cs="Arial"/>
          <w:b/>
          <w:bCs/>
          <w:color w:val="030303"/>
          <w:position w:val="17"/>
          <w:sz w:val="20"/>
          <w:szCs w:val="20"/>
          <w:lang w:eastAsia="en-GB"/>
        </w:rPr>
        <w:t>.Improvement to suspended patient records</w:t>
      </w:r>
    </w:p>
    <w:bookmarkEnd w:id="14"/>
    <w:p w14:paraId="07757A61" w14:textId="77777777" w:rsidR="009E3A92" w:rsidRDefault="009E3A92" w:rsidP="009E3A9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ascii="Arial" w:hAnsi="Arial" w:cs="Arial"/>
          <w:color w:val="030303"/>
          <w:position w:val="17"/>
          <w:sz w:val="20"/>
          <w:szCs w:val="20"/>
          <w:lang w:eastAsia="en-GB"/>
        </w:rPr>
      </w:pPr>
      <w:r>
        <w:rPr>
          <w:rFonts w:ascii="Arial" w:hAnsi="Arial" w:cs="Arial"/>
          <w:color w:val="030303"/>
          <w:position w:val="17"/>
          <w:sz w:val="20"/>
          <w:szCs w:val="20"/>
          <w:lang w:eastAsia="en-GB"/>
        </w:rPr>
        <w:t>GP practices are now able to receive suspended patient health records electronically with electronic health records (EHRs) arriving via GP2GP. Practices will still receive a Lloyd George envelope from PCSE.</w:t>
      </w:r>
    </w:p>
    <w:p w14:paraId="40E49E26" w14:textId="77777777" w:rsidR="009E3A92" w:rsidRDefault="009E3A92" w:rsidP="009E3A9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ascii="Arial" w:hAnsi="Arial" w:cs="Arial"/>
          <w:color w:val="030303"/>
          <w:position w:val="17"/>
          <w:sz w:val="20"/>
          <w:szCs w:val="20"/>
          <w:lang w:eastAsia="en-GB"/>
        </w:rPr>
      </w:pPr>
      <w:r>
        <w:rPr>
          <w:rFonts w:ascii="Arial" w:hAnsi="Arial" w:cs="Arial"/>
          <w:color w:val="030303"/>
          <w:position w:val="17"/>
          <w:sz w:val="20"/>
          <w:szCs w:val="20"/>
          <w:lang w:eastAsia="en-GB"/>
        </w:rPr>
        <w:t>Practices still need to print electronic records, in line with the usual process, for patients who de-register from their practice list and do not register elsewhere. Changes later in the year will mean that these suspended patient records will be held in a national electronic records repository.</w:t>
      </w:r>
    </w:p>
    <w:p w14:paraId="1D93F983" w14:textId="77777777" w:rsidR="009E3A92" w:rsidRDefault="009E3A92" w:rsidP="009E3A9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ascii="Arial" w:hAnsi="Arial" w:cs="Arial"/>
          <w:color w:val="030303"/>
          <w:position w:val="17"/>
          <w:sz w:val="20"/>
          <w:szCs w:val="20"/>
          <w:lang w:eastAsia="en-GB"/>
        </w:rPr>
      </w:pPr>
      <w:r>
        <w:rPr>
          <w:rFonts w:ascii="Arial" w:hAnsi="Arial" w:cs="Arial"/>
          <w:color w:val="030303"/>
          <w:position w:val="17"/>
          <w:sz w:val="20"/>
          <w:szCs w:val="20"/>
          <w:lang w:eastAsia="en-GB"/>
        </w:rPr>
        <w:t>Once a patient is registered, GP2GP will transfer from your patient’s previous practice - it is important that you integrate/file this record into your system. Practices should have a process in place to integrate/file a new patient’s EHR as soon as it is received (usually within minutes of the patient registration). EHRs received by GP2GP must be manually integrated within eight days. If not, they need to be printed by the sending practice, breaking the digital record’s continuity, and adding administrative burden for both practices.  </w:t>
      </w:r>
    </w:p>
    <w:p w14:paraId="6DB826D7" w14:textId="77777777" w:rsidR="002B26EA" w:rsidRDefault="002B26EA" w:rsidP="003515F9">
      <w:pPr>
        <w:spacing w:before="240"/>
        <w:rPr>
          <w:rFonts w:cstheme="minorHAnsi"/>
          <w:b/>
          <w:bCs/>
          <w:color w:val="0000FF"/>
          <w:sz w:val="21"/>
          <w:szCs w:val="21"/>
          <w:lang w:eastAsia="en-GB"/>
        </w:rPr>
      </w:pPr>
    </w:p>
    <w:p w14:paraId="3880595B" w14:textId="5131EA3F" w:rsidR="00F7523F" w:rsidRPr="00F7523F" w:rsidRDefault="00F7523F" w:rsidP="00F7523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Arial" w:hAnsi="Arial" w:cs="Arial"/>
          <w:b/>
          <w:bCs/>
          <w:color w:val="000000"/>
        </w:rPr>
      </w:pPr>
      <w:bookmarkStart w:id="15" w:name="NU16"/>
      <w:r>
        <w:rPr>
          <w:rFonts w:ascii="Arial" w:hAnsi="Arial" w:cs="Arial"/>
          <w:b/>
          <w:bCs/>
          <w:color w:val="000000"/>
        </w:rPr>
        <w:t>16.</w:t>
      </w:r>
      <w:r w:rsidRPr="00F7523F">
        <w:rPr>
          <w:rFonts w:ascii="Arial" w:hAnsi="Arial" w:cs="Arial"/>
          <w:b/>
          <w:bCs/>
          <w:color w:val="000000"/>
        </w:rPr>
        <w:t>BSol Recruitment Fayre – 17/09/22</w:t>
      </w:r>
    </w:p>
    <w:bookmarkEnd w:id="15"/>
    <w:p w14:paraId="2EF0DB44" w14:textId="77777777" w:rsidR="00F7523F" w:rsidRPr="00F7523F" w:rsidRDefault="00F7523F" w:rsidP="00F7523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Arial" w:hAnsi="Arial" w:cs="Arial"/>
          <w:color w:val="000000"/>
        </w:rPr>
      </w:pPr>
      <w:r w:rsidRPr="00F7523F">
        <w:rPr>
          <w:rFonts w:ascii="Helvetica" w:hAnsi="Helvetica" w:cs="Helvetica"/>
          <w:color w:val="222222"/>
        </w:rPr>
        <w:t xml:space="preserve">Birmingham and Solihull Training Hub, in collaboration with </w:t>
      </w:r>
      <w:proofErr w:type="spellStart"/>
      <w:r w:rsidRPr="00F7523F">
        <w:rPr>
          <w:rFonts w:ascii="Helvetica" w:hAnsi="Helvetica" w:cs="Helvetica"/>
          <w:color w:val="222222"/>
        </w:rPr>
        <w:t>BSol</w:t>
      </w:r>
      <w:proofErr w:type="spellEnd"/>
      <w:r w:rsidRPr="00F7523F">
        <w:rPr>
          <w:rFonts w:ascii="Helvetica" w:hAnsi="Helvetica" w:cs="Helvetica"/>
          <w:color w:val="222222"/>
        </w:rPr>
        <w:t> ICB, are hosting a recruitment event for all job roles in primary care on Saturday 17th September 2022 at Millennium Point. </w:t>
      </w:r>
    </w:p>
    <w:p w14:paraId="6CDBDCCA" w14:textId="77777777" w:rsidR="00F7523F" w:rsidRPr="00F7523F" w:rsidRDefault="00F7523F" w:rsidP="00F7523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Arial" w:hAnsi="Arial" w:cs="Arial"/>
          <w:color w:val="2F5496"/>
        </w:rPr>
      </w:pPr>
      <w:r w:rsidRPr="00F7523F">
        <w:rPr>
          <w:rFonts w:ascii="Arial" w:hAnsi="Arial" w:cs="Arial"/>
          <w:color w:val="000000"/>
        </w:rPr>
        <w:t xml:space="preserve">The attached posters can be shared via </w:t>
      </w:r>
      <w:proofErr w:type="gramStart"/>
      <w:r w:rsidRPr="00F7523F">
        <w:rPr>
          <w:rFonts w:ascii="Arial" w:hAnsi="Arial" w:cs="Arial"/>
          <w:color w:val="000000"/>
        </w:rPr>
        <w:t>Social Media</w:t>
      </w:r>
      <w:proofErr w:type="gramEnd"/>
      <w:r w:rsidRPr="00F7523F">
        <w:rPr>
          <w:rFonts w:ascii="Arial" w:hAnsi="Arial" w:cs="Arial"/>
          <w:color w:val="000000"/>
        </w:rPr>
        <w:t xml:space="preserve"> and printed for the Practice Notice Boards for interested applicants to help promote the event. Applicants are advised to register </w:t>
      </w:r>
      <w:r w:rsidRPr="00F7523F">
        <w:rPr>
          <w:rFonts w:ascii="Arial" w:hAnsi="Arial" w:cs="Arial"/>
          <w:color w:val="000000"/>
        </w:rPr>
        <w:lastRenderedPageBreak/>
        <w:t xml:space="preserve">to attend but can pop in on the day and get more information: </w:t>
      </w:r>
      <w:hyperlink r:id="rId51" w:history="1">
        <w:r w:rsidRPr="00F7523F">
          <w:rPr>
            <w:rStyle w:val="Hyperlink"/>
          </w:rPr>
          <w:t>Primary Care Recruitment Event Tickets, Sat 17 Sep 2022 at 10:00 | Eventbrite</w:t>
        </w:r>
      </w:hyperlink>
    </w:p>
    <w:p w14:paraId="53AC5EAB" w14:textId="77777777" w:rsidR="00F7523F" w:rsidRPr="00F7523F" w:rsidRDefault="00F7523F" w:rsidP="00F7523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Arial" w:hAnsi="Arial" w:cs="Arial"/>
          <w:color w:val="000000"/>
        </w:rPr>
      </w:pPr>
      <w:r w:rsidRPr="00F7523F">
        <w:rPr>
          <w:rFonts w:ascii="Arial" w:hAnsi="Arial" w:cs="Arial"/>
          <w:color w:val="000000"/>
        </w:rPr>
        <w:t>Are there any vacancies at your practice that you have not informed us already? It is not late – get in touch with your Training Hub Locality Co-Ordinator.</w:t>
      </w:r>
    </w:p>
    <w:p w14:paraId="31DE5ACE" w14:textId="6A860419" w:rsidR="002B26EA" w:rsidRPr="00686135" w:rsidRDefault="00F7523F" w:rsidP="00686135">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Arial" w:hAnsi="Arial" w:cs="Arial"/>
          <w:color w:val="000000"/>
        </w:rPr>
      </w:pPr>
      <w:r w:rsidRPr="00F7523F">
        <w:rPr>
          <w:rFonts w:ascii="Arial" w:hAnsi="Arial" w:cs="Arial"/>
          <w:color w:val="000000"/>
        </w:rPr>
        <w:t>Should you have any questions or need more information please get in touch.</w:t>
      </w:r>
    </w:p>
    <w:p w14:paraId="69D2E962" w14:textId="77777777" w:rsidR="002B26EA" w:rsidRPr="003515F9" w:rsidRDefault="002B26EA" w:rsidP="003515F9">
      <w:pPr>
        <w:spacing w:before="240"/>
        <w:rPr>
          <w:rFonts w:cstheme="minorHAnsi"/>
          <w:b/>
          <w:bCs/>
          <w:color w:val="0000FF"/>
          <w:sz w:val="21"/>
          <w:szCs w:val="21"/>
          <w:lang w:eastAsia="en-GB"/>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52"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53"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54"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55"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56"/>
      <w:footerReference w:type="default" r:id="rId57"/>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EAAC9" w14:textId="77777777" w:rsidR="000F0537" w:rsidRDefault="000F0537" w:rsidP="001B4E81">
      <w:pPr>
        <w:spacing w:after="0" w:line="240" w:lineRule="auto"/>
      </w:pPr>
      <w:r>
        <w:separator/>
      </w:r>
    </w:p>
  </w:endnote>
  <w:endnote w:type="continuationSeparator" w:id="0">
    <w:p w14:paraId="030BBD49" w14:textId="77777777" w:rsidR="000F0537" w:rsidRDefault="000F0537"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2EA24" w14:textId="77777777" w:rsidR="000F0537" w:rsidRDefault="000F0537" w:rsidP="001B4E81">
      <w:pPr>
        <w:spacing w:after="0" w:line="240" w:lineRule="auto"/>
      </w:pPr>
      <w:r>
        <w:separator/>
      </w:r>
    </w:p>
  </w:footnote>
  <w:footnote w:type="continuationSeparator" w:id="0">
    <w:p w14:paraId="07CF7BCD" w14:textId="77777777" w:rsidR="000F0537" w:rsidRDefault="000F0537"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3E687B"/>
    <w:multiLevelType w:val="multilevel"/>
    <w:tmpl w:val="12F80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8D72747"/>
    <w:multiLevelType w:val="multilevel"/>
    <w:tmpl w:val="FF3685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0F5B3D"/>
    <w:multiLevelType w:val="multilevel"/>
    <w:tmpl w:val="1974B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49F2DCB"/>
    <w:multiLevelType w:val="hybridMultilevel"/>
    <w:tmpl w:val="261A4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9A64BE"/>
    <w:multiLevelType w:val="multilevel"/>
    <w:tmpl w:val="3D321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12654B"/>
    <w:multiLevelType w:val="hybridMultilevel"/>
    <w:tmpl w:val="8BEE8C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B7524E"/>
    <w:multiLevelType w:val="hybridMultilevel"/>
    <w:tmpl w:val="60B0CA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516AFC"/>
    <w:multiLevelType w:val="multilevel"/>
    <w:tmpl w:val="1E1C66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D4603CC"/>
    <w:multiLevelType w:val="multilevel"/>
    <w:tmpl w:val="A8EE5C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006D86"/>
    <w:multiLevelType w:val="hybridMultilevel"/>
    <w:tmpl w:val="DB806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AC4108"/>
    <w:multiLevelType w:val="multilevel"/>
    <w:tmpl w:val="3C1A07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9514491">
    <w:abstractNumId w:val="14"/>
  </w:num>
  <w:num w:numId="2" w16cid:durableId="2045934090">
    <w:abstractNumId w:val="5"/>
  </w:num>
  <w:num w:numId="3" w16cid:durableId="720203329">
    <w:abstractNumId w:val="21"/>
  </w:num>
  <w:num w:numId="4" w16cid:durableId="1154296620">
    <w:abstractNumId w:val="6"/>
  </w:num>
  <w:num w:numId="5" w16cid:durableId="674842477">
    <w:abstractNumId w:val="18"/>
  </w:num>
  <w:num w:numId="6" w16cid:durableId="1654676099">
    <w:abstractNumId w:val="0"/>
  </w:num>
  <w:num w:numId="7" w16cid:durableId="380177225">
    <w:abstractNumId w:val="10"/>
  </w:num>
  <w:num w:numId="8" w16cid:durableId="1790659448">
    <w:abstractNumId w:val="20"/>
  </w:num>
  <w:num w:numId="9" w16cid:durableId="2023360628">
    <w:abstractNumId w:val="7"/>
  </w:num>
  <w:num w:numId="10" w16cid:durableId="945383897">
    <w:abstractNumId w:val="23"/>
  </w:num>
  <w:num w:numId="11" w16cid:durableId="1066486991">
    <w:abstractNumId w:val="19"/>
  </w:num>
  <w:num w:numId="12" w16cid:durableId="537666982">
    <w:abstractNumId w:val="9"/>
  </w:num>
  <w:num w:numId="13" w16cid:durableId="1328553811">
    <w:abstractNumId w:val="2"/>
  </w:num>
  <w:num w:numId="14" w16cid:durableId="465241123">
    <w:abstractNumId w:val="3"/>
  </w:num>
  <w:num w:numId="15" w16cid:durableId="4210165">
    <w:abstractNumId w:val="1"/>
  </w:num>
  <w:num w:numId="16" w16cid:durableId="401412942">
    <w:abstractNumId w:val="11"/>
  </w:num>
  <w:num w:numId="17" w16cid:durableId="849681087">
    <w:abstractNumId w:val="12"/>
  </w:num>
  <w:num w:numId="18" w16cid:durableId="1773356266">
    <w:abstractNumId w:val="8"/>
  </w:num>
  <w:num w:numId="19" w16cid:durableId="1912933289">
    <w:abstractNumId w:val="12"/>
  </w:num>
  <w:num w:numId="20" w16cid:durableId="1890262505">
    <w:abstractNumId w:val="8"/>
  </w:num>
  <w:num w:numId="21" w16cid:durableId="725763686">
    <w:abstractNumId w:val="22"/>
  </w:num>
  <w:num w:numId="22" w16cid:durableId="1996908733">
    <w:abstractNumId w:val="13"/>
  </w:num>
  <w:num w:numId="23" w16cid:durableId="1323049511">
    <w:abstractNumId w:val="16"/>
  </w:num>
  <w:num w:numId="24" w16cid:durableId="439496001">
    <w:abstractNumId w:val="24"/>
  </w:num>
  <w:num w:numId="25" w16cid:durableId="1516575166">
    <w:abstractNumId w:val="17"/>
  </w:num>
  <w:num w:numId="26" w16cid:durableId="843932598">
    <w:abstractNumId w:val="4"/>
  </w:num>
  <w:num w:numId="27" w16cid:durableId="7106872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555A"/>
    <w:rsid w:val="00007360"/>
    <w:rsid w:val="00010C70"/>
    <w:rsid w:val="000230CD"/>
    <w:rsid w:val="00034045"/>
    <w:rsid w:val="0004055C"/>
    <w:rsid w:val="000525F3"/>
    <w:rsid w:val="00071C2D"/>
    <w:rsid w:val="00072D34"/>
    <w:rsid w:val="0007398E"/>
    <w:rsid w:val="00075F17"/>
    <w:rsid w:val="00081413"/>
    <w:rsid w:val="000C2FD6"/>
    <w:rsid w:val="000F0353"/>
    <w:rsid w:val="000F04EC"/>
    <w:rsid w:val="000F0537"/>
    <w:rsid w:val="000F2BE9"/>
    <w:rsid w:val="00115AFB"/>
    <w:rsid w:val="00116519"/>
    <w:rsid w:val="0012701E"/>
    <w:rsid w:val="00133C16"/>
    <w:rsid w:val="00151790"/>
    <w:rsid w:val="00170C2F"/>
    <w:rsid w:val="00174174"/>
    <w:rsid w:val="00177EAB"/>
    <w:rsid w:val="00196742"/>
    <w:rsid w:val="001A5DEE"/>
    <w:rsid w:val="001B4E81"/>
    <w:rsid w:val="001C1DE2"/>
    <w:rsid w:val="001F50DA"/>
    <w:rsid w:val="001F5C20"/>
    <w:rsid w:val="002313DF"/>
    <w:rsid w:val="00232556"/>
    <w:rsid w:val="00234234"/>
    <w:rsid w:val="002464BC"/>
    <w:rsid w:val="00247C64"/>
    <w:rsid w:val="0025093F"/>
    <w:rsid w:val="00254090"/>
    <w:rsid w:val="00257079"/>
    <w:rsid w:val="002611C2"/>
    <w:rsid w:val="00267854"/>
    <w:rsid w:val="0027009C"/>
    <w:rsid w:val="00295790"/>
    <w:rsid w:val="0029684B"/>
    <w:rsid w:val="002A60D8"/>
    <w:rsid w:val="002B26EA"/>
    <w:rsid w:val="00302980"/>
    <w:rsid w:val="00304730"/>
    <w:rsid w:val="003165E8"/>
    <w:rsid w:val="00322467"/>
    <w:rsid w:val="00326C45"/>
    <w:rsid w:val="00327F6D"/>
    <w:rsid w:val="003307E4"/>
    <w:rsid w:val="00334058"/>
    <w:rsid w:val="0034616B"/>
    <w:rsid w:val="003515F9"/>
    <w:rsid w:val="00362320"/>
    <w:rsid w:val="003731E2"/>
    <w:rsid w:val="00380792"/>
    <w:rsid w:val="003912C3"/>
    <w:rsid w:val="00393FFF"/>
    <w:rsid w:val="003A2046"/>
    <w:rsid w:val="003A5806"/>
    <w:rsid w:val="003D21EB"/>
    <w:rsid w:val="003D3A4B"/>
    <w:rsid w:val="003E4A49"/>
    <w:rsid w:val="003E6828"/>
    <w:rsid w:val="003F5E55"/>
    <w:rsid w:val="00417BB8"/>
    <w:rsid w:val="0042361F"/>
    <w:rsid w:val="00424321"/>
    <w:rsid w:val="00434D89"/>
    <w:rsid w:val="00442D06"/>
    <w:rsid w:val="00471CFB"/>
    <w:rsid w:val="00490162"/>
    <w:rsid w:val="00492208"/>
    <w:rsid w:val="00494952"/>
    <w:rsid w:val="004B5D50"/>
    <w:rsid w:val="004B6C2E"/>
    <w:rsid w:val="004B6E4C"/>
    <w:rsid w:val="004B7CE8"/>
    <w:rsid w:val="004F7065"/>
    <w:rsid w:val="004F7CC6"/>
    <w:rsid w:val="00502055"/>
    <w:rsid w:val="005201FA"/>
    <w:rsid w:val="005234FE"/>
    <w:rsid w:val="005236D8"/>
    <w:rsid w:val="00552CC1"/>
    <w:rsid w:val="00552E3F"/>
    <w:rsid w:val="00585485"/>
    <w:rsid w:val="005A2F51"/>
    <w:rsid w:val="005D1ED0"/>
    <w:rsid w:val="005E0602"/>
    <w:rsid w:val="005F5155"/>
    <w:rsid w:val="00654AA4"/>
    <w:rsid w:val="00686135"/>
    <w:rsid w:val="00692230"/>
    <w:rsid w:val="00692BEF"/>
    <w:rsid w:val="00695059"/>
    <w:rsid w:val="00697DEE"/>
    <w:rsid w:val="006C4FD6"/>
    <w:rsid w:val="006C6B49"/>
    <w:rsid w:val="006C70C7"/>
    <w:rsid w:val="006D030D"/>
    <w:rsid w:val="006D0B43"/>
    <w:rsid w:val="006D4E3F"/>
    <w:rsid w:val="006E5070"/>
    <w:rsid w:val="006E5E51"/>
    <w:rsid w:val="006F1C6F"/>
    <w:rsid w:val="007049EA"/>
    <w:rsid w:val="007241A2"/>
    <w:rsid w:val="0078159D"/>
    <w:rsid w:val="00785F5E"/>
    <w:rsid w:val="007F5F4E"/>
    <w:rsid w:val="008009C2"/>
    <w:rsid w:val="00816E1F"/>
    <w:rsid w:val="00840E4C"/>
    <w:rsid w:val="00842017"/>
    <w:rsid w:val="00861B5E"/>
    <w:rsid w:val="0086562F"/>
    <w:rsid w:val="00875A27"/>
    <w:rsid w:val="008855B8"/>
    <w:rsid w:val="008A3E29"/>
    <w:rsid w:val="008A5BBD"/>
    <w:rsid w:val="008B2543"/>
    <w:rsid w:val="008B6632"/>
    <w:rsid w:val="008C56EA"/>
    <w:rsid w:val="008D40B3"/>
    <w:rsid w:val="008E369B"/>
    <w:rsid w:val="008E62A0"/>
    <w:rsid w:val="008F2EC4"/>
    <w:rsid w:val="00906A69"/>
    <w:rsid w:val="009309D6"/>
    <w:rsid w:val="00933287"/>
    <w:rsid w:val="00935CE8"/>
    <w:rsid w:val="00943475"/>
    <w:rsid w:val="009720C8"/>
    <w:rsid w:val="0097290E"/>
    <w:rsid w:val="0098382C"/>
    <w:rsid w:val="0098389F"/>
    <w:rsid w:val="0098663E"/>
    <w:rsid w:val="009A56F1"/>
    <w:rsid w:val="009B57E2"/>
    <w:rsid w:val="009B7F26"/>
    <w:rsid w:val="009C67A9"/>
    <w:rsid w:val="009E3A92"/>
    <w:rsid w:val="009E4658"/>
    <w:rsid w:val="00A10AB8"/>
    <w:rsid w:val="00A10CAF"/>
    <w:rsid w:val="00A215AA"/>
    <w:rsid w:val="00A40329"/>
    <w:rsid w:val="00A552F2"/>
    <w:rsid w:val="00A7150C"/>
    <w:rsid w:val="00A868B6"/>
    <w:rsid w:val="00A86E49"/>
    <w:rsid w:val="00A96BB0"/>
    <w:rsid w:val="00AB5987"/>
    <w:rsid w:val="00AD0E2F"/>
    <w:rsid w:val="00AD7D20"/>
    <w:rsid w:val="00B30428"/>
    <w:rsid w:val="00B34104"/>
    <w:rsid w:val="00B35C57"/>
    <w:rsid w:val="00B53967"/>
    <w:rsid w:val="00B5660B"/>
    <w:rsid w:val="00B70ADD"/>
    <w:rsid w:val="00B81C54"/>
    <w:rsid w:val="00B9175B"/>
    <w:rsid w:val="00B9520F"/>
    <w:rsid w:val="00BA329A"/>
    <w:rsid w:val="00BA4459"/>
    <w:rsid w:val="00BC4341"/>
    <w:rsid w:val="00C01174"/>
    <w:rsid w:val="00C26776"/>
    <w:rsid w:val="00C4008D"/>
    <w:rsid w:val="00C4124A"/>
    <w:rsid w:val="00C77C64"/>
    <w:rsid w:val="00C902BD"/>
    <w:rsid w:val="00CD28AF"/>
    <w:rsid w:val="00CE5DB2"/>
    <w:rsid w:val="00CF1A58"/>
    <w:rsid w:val="00CF4A29"/>
    <w:rsid w:val="00CF6C14"/>
    <w:rsid w:val="00D03932"/>
    <w:rsid w:val="00D1350E"/>
    <w:rsid w:val="00D14BAB"/>
    <w:rsid w:val="00D47764"/>
    <w:rsid w:val="00D717C5"/>
    <w:rsid w:val="00D72E12"/>
    <w:rsid w:val="00D83F9B"/>
    <w:rsid w:val="00D9011A"/>
    <w:rsid w:val="00DB088B"/>
    <w:rsid w:val="00DB196B"/>
    <w:rsid w:val="00DB3451"/>
    <w:rsid w:val="00DF0C23"/>
    <w:rsid w:val="00DF3536"/>
    <w:rsid w:val="00E03FB7"/>
    <w:rsid w:val="00E14B44"/>
    <w:rsid w:val="00E27473"/>
    <w:rsid w:val="00E279C3"/>
    <w:rsid w:val="00E35CE4"/>
    <w:rsid w:val="00E40AC3"/>
    <w:rsid w:val="00E90333"/>
    <w:rsid w:val="00EA646C"/>
    <w:rsid w:val="00EC12C2"/>
    <w:rsid w:val="00ED67E0"/>
    <w:rsid w:val="00EE6841"/>
    <w:rsid w:val="00F105F0"/>
    <w:rsid w:val="00F20872"/>
    <w:rsid w:val="00F20D03"/>
    <w:rsid w:val="00F26A19"/>
    <w:rsid w:val="00F31546"/>
    <w:rsid w:val="00F36879"/>
    <w:rsid w:val="00F45B98"/>
    <w:rsid w:val="00F45E90"/>
    <w:rsid w:val="00F61A77"/>
    <w:rsid w:val="00F64DA1"/>
    <w:rsid w:val="00F7523F"/>
    <w:rsid w:val="00FB3717"/>
    <w:rsid w:val="00FB71E9"/>
    <w:rsid w:val="00FC08E9"/>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uiPriority w:val="99"/>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semiHidden/>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5803563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6907091">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92340226">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93022917">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gital.nhs.uk/data-and-information/publications/statistical/general-and-personal-medical-services/31-july-2022" TargetMode="External"/><Relationship Id="rId18" Type="http://schemas.openxmlformats.org/officeDocument/2006/relationships/hyperlink" Target="https://bma-mail.org.uk/t/JVX-7CV5G-JCJOU4-4FIBPT-1/c.aspx" TargetMode="External"/><Relationship Id="rId26" Type="http://schemas.openxmlformats.org/officeDocument/2006/relationships/hyperlink" Target="https://www.bma.org.uk/bma-media-centre/reported-plan-for-gps-to-prescribe-heating-bill-discounts-beggars-belief-says-bma" TargetMode="External"/><Relationship Id="rId39" Type="http://schemas.openxmlformats.org/officeDocument/2006/relationships/hyperlink" Target="https://teams.microsoft.com/registration/7zHYsigClEaueEFz-XSUrQ,o-mdJ05ogkqhC3X1bcag7A,qJhGSGe1oUSwxCgePMfoNA,NzkH9tl2VEagHOOcDC1iKw,_0FEM_KIJUuZ0bZaAdltqg,K8JiV3S5Q0OjJrJWV5d7kQ?mode=read&amp;tenantId=b2d831ef-0228-4694-ae78-4173f97494ad" TargetMode="External"/><Relationship Id="rId21" Type="http://schemas.openxmlformats.org/officeDocument/2006/relationships/hyperlink" Target="https://www.gov.uk/government/news/jcvi-publishes-advice-on-covid-19-vaccines-for-autumn-booster-programme" TargetMode="External"/><Relationship Id="rId34" Type="http://schemas.openxmlformats.org/officeDocument/2006/relationships/hyperlink" Target="https://www.bma.org.uk/media/6048/bma-section-49-guidance2022.pdf" TargetMode="External"/><Relationship Id="rId42" Type="http://schemas.openxmlformats.org/officeDocument/2006/relationships/hyperlink" Target="mailto:hello@redmoorhealth.co.uk" TargetMode="External"/><Relationship Id="rId47" Type="http://schemas.openxmlformats.org/officeDocument/2006/relationships/hyperlink" Target="https://primarycarebulletin.cmail20.com/t/d-l-fkddidk-tluhhdhyld-o/" TargetMode="External"/><Relationship Id="rId50" Type="http://schemas.openxmlformats.org/officeDocument/2006/relationships/hyperlink" Target="https://primarycarebulletin.cmail20.com/t/d-l-fkddidk-tluhhdhyld-c/" TargetMode="External"/><Relationship Id="rId55" Type="http://schemas.openxmlformats.org/officeDocument/2006/relationships/hyperlink" Target="https://www.england.nhs.uk/"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bma.org.uk/advice-and-support/gp-practices/managing-workload/safe-working-in-general-practice" TargetMode="External"/><Relationship Id="rId29" Type="http://schemas.openxmlformats.org/officeDocument/2006/relationships/hyperlink" Target="https://www.theguardian.com/society/2022/aug/22/gps-to-prescribe-walking-and-cycling-in-bid-to-ease-burden-on-nhs" TargetMode="External"/><Relationship Id="rId11" Type="http://schemas.openxmlformats.org/officeDocument/2006/relationships/hyperlink" Target="https://www.bma.org.uk/bma-media-centre/dr-david-wrigley-elected-as-new-deputy-chair-of-gpc-england" TargetMode="External"/><Relationship Id="rId24" Type="http://schemas.openxmlformats.org/officeDocument/2006/relationships/hyperlink" Target="https://www.england.nhs.uk/south/wp-content/uploads/sites/6/2022/07/B1868_Reimbursable-vaccines-and-eligible-cohorts-for-the-2022-23-NHS-Seasonal-Influenza-flu-Vaccination-Progra.pdf" TargetMode="External"/><Relationship Id="rId32" Type="http://schemas.openxmlformats.org/officeDocument/2006/relationships/hyperlink" Target="https://www.gov.uk/hmrc-internal-manuals/trust-registration-service-manual/trsm21030" TargetMode="External"/><Relationship Id="rId37" Type="http://schemas.openxmlformats.org/officeDocument/2006/relationships/hyperlink" Target="https://digitaljourneyplanner.co.uk/" TargetMode="External"/><Relationship Id="rId40" Type="http://schemas.openxmlformats.org/officeDocument/2006/relationships/hyperlink" Target="https://teams.microsoft.com/registration/7zHYsigClEaueEFz-XSUrQ,o-mdJ05ogkqhC3X1bcag7A,qJhGSGe1oUSwxCgePMfoNA,9jRMsdvuH0-fP4uUIQBo8Q,TuSBWHNwnUuNil5BWI_f5g,D-B0AY6GJESoj6k3GPOeKg?mode=read&amp;tenantId=b2d831ef-0228-4694-ae78-4173f97494ad" TargetMode="External"/><Relationship Id="rId45" Type="http://schemas.openxmlformats.org/officeDocument/2006/relationships/hyperlink" Target="https://primarycarebulletin.cmail20.com/t/d-l-fkddidk-tluhhdhyld-k/" TargetMode="External"/><Relationship Id="rId53" Type="http://schemas.openxmlformats.org/officeDocument/2006/relationships/hyperlink" Target="https://www.bma.org.uk/advice-and-support/gp-practices"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yperlink" Target="tel:0300%20123%20123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igital.nhs.uk/data-and-information/publications/statistical/appointments-in-general-practice/july-2022" TargetMode="External"/><Relationship Id="rId22" Type="http://schemas.openxmlformats.org/officeDocument/2006/relationships/hyperlink" Target="https://www.bma.org.uk/bma-media-centre/autumn-booster-programme-must-not-be-delivered-on-the-cheap-says-bma" TargetMode="External"/><Relationship Id="rId27" Type="http://schemas.openxmlformats.org/officeDocument/2006/relationships/hyperlink" Target="https://www.gov.uk/government/news/walking-wheeling-and-cycling-to-be-offered-on-prescription-in-nationwide-trial" TargetMode="External"/><Relationship Id="rId30" Type="http://schemas.openxmlformats.org/officeDocument/2006/relationships/hyperlink" Target="https://www.gov.uk/government/publications/bureaucracy-busting-concordat-principles-to-reduce-unnecessary-bureaucracy-and-administrative-burdens-on-general-practice/bureaucracy-busting-concordat-principles-to-reduce-unnecessary-bureaucracy-and-administrative-burdens-on-general-practice" TargetMode="External"/><Relationship Id="rId35" Type="http://schemas.openxmlformats.org/officeDocument/2006/relationships/hyperlink" Target="https://www.bma.org.uk/what-we-do/committees/medico-legal-committee/medico-legal-committee-overview" TargetMode="External"/><Relationship Id="rId43" Type="http://schemas.openxmlformats.org/officeDocument/2006/relationships/hyperlink" Target="https://redmoorhealth.co.uk/cms/djp-enhanced.html" TargetMode="External"/><Relationship Id="rId48" Type="http://schemas.openxmlformats.org/officeDocument/2006/relationships/hyperlink" Target="https://primarycarebulletin.cmail20.com/t/d-l-fkddidk-tluhhdhyld-b/" TargetMode="External"/><Relationship Id="rId5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www.eventbrite.co.uk/e/primary-care-recruitment-event-tickets-388128421557" TargetMode="External"/><Relationship Id="rId3" Type="http://schemas.openxmlformats.org/officeDocument/2006/relationships/customXml" Target="../customXml/item3.xml"/><Relationship Id="rId12" Type="http://schemas.openxmlformats.org/officeDocument/2006/relationships/hyperlink" Target="https://www.bma.org.uk/what-we-do/committees/general-practitioners-committee/england-general-practitioners-committee" TargetMode="External"/><Relationship Id="rId17" Type="http://schemas.openxmlformats.org/officeDocument/2006/relationships/hyperlink" Target="https://bma-mail.org.uk/t/JVX-7CV5G-JCJOU4-4FIBPR-1/c.aspx" TargetMode="External"/><Relationship Id="rId25" Type="http://schemas.openxmlformats.org/officeDocument/2006/relationships/hyperlink" Target="https://www.theguardian.com/society/2022/aug/21/gps-could-prescribe-money-off-energy-bills-under-treasury-plan" TargetMode="External"/><Relationship Id="rId33" Type="http://schemas.openxmlformats.org/officeDocument/2006/relationships/hyperlink" Target="https://www.gov.uk/hmrc-internal-manuals/trust-registration-service-manual/trsm23000" TargetMode="External"/><Relationship Id="rId38" Type="http://schemas.openxmlformats.org/officeDocument/2006/relationships/hyperlink" Target="https://teams.microsoft.com/registration/7zHYsigClEaueEFz-XSUrQ,o-mdJ05ogkqhC3X1bcag7A,qJhGSGe1oUSwxCgePMfoNA,iCR_Uk1vA0SHVxWKiNu9Jw,dTC5dUvBe0iSZMJSVra4BA,sXCGE-TdW0SZPJKZmhHcXQ?mode=read&amp;tenantId=b2d831ef-0228-4694-ae78-4173f97494ad" TargetMode="External"/><Relationship Id="rId46" Type="http://schemas.openxmlformats.org/officeDocument/2006/relationships/hyperlink" Target="https://primarycarebulletin.cmail20.com/t/d-l-fkddidk-tluhhdhyld-u/" TargetMode="External"/><Relationship Id="rId59" Type="http://schemas.openxmlformats.org/officeDocument/2006/relationships/theme" Target="theme/theme1.xml"/><Relationship Id="rId20" Type="http://schemas.openxmlformats.org/officeDocument/2006/relationships/hyperlink" Target="mailto:support@bma.org.uk" TargetMode="External"/><Relationship Id="rId41" Type="http://schemas.openxmlformats.org/officeDocument/2006/relationships/hyperlink" Target="https://teams.microsoft.com/registration/7zHYsigClEaueEFz-XSUrQ,o-mdJ05ogkqhC3X1bcag7A,qJhGSGe1oUSwxCgePMfoNA,HZz8k-ueNUScoYidghuqlw,4pUB1Y-j-ka36pyJCEvqow,JCsDa9XCIk2VDZE-6LhQ2A?mode=read&amp;tenantId=b2d831ef-0228-4694-ae78-4173f97494ad" TargetMode="External"/><Relationship Id="rId54" Type="http://schemas.openxmlformats.org/officeDocument/2006/relationships/hyperlink" Target="https://www.gov.uk/coronaviru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bma.org.uk/advice-and-support/nhs-delivery-and-workforce/pressures/pressures-in-general-practice-data-analysis" TargetMode="External"/><Relationship Id="rId23" Type="http://schemas.openxmlformats.org/officeDocument/2006/relationships/hyperlink" Target="https://www.england.nhs.uk/gp/investment/gp-contract/seasonal-influenza-service-specifications-and-collaboration-agreement/" TargetMode="External"/><Relationship Id="rId28" Type="http://schemas.openxmlformats.org/officeDocument/2006/relationships/hyperlink" Target="https://www.newstatesman.com/tag/mental-health" TargetMode="External"/><Relationship Id="rId36" Type="http://schemas.openxmlformats.org/officeDocument/2006/relationships/hyperlink" Target="https://eur02.safelinks.protection.outlook.com/?url=https%3A%2F%2Frabrams0.wixsite.com%2Fprimarycare-research&amp;data=05%7C01%7Cr.abrams%40surrey.ac.uk%7Cae7c77a7b34d4ea33a2908da7f6b051f%7C6b902693107440aa9e21d89446a2ebb5%7C0%7C1%7C637962394891959961%7CUnknown%7CTWFpbGZsb3d8eyJWIjoiMC4wLjAwMDAiLCJQIjoiV2luMzIiLCJBTiI6Ik1haWwiLCJXVCI6Mn0%3D%7C2000%7C%7C%7C&amp;sdata=BsaBljD5L98IPJujViPW7hnN%2FVJ3AwhdtEKH7ZIzd0U%3D&amp;reserved=0" TargetMode="External"/><Relationship Id="rId49" Type="http://schemas.openxmlformats.org/officeDocument/2006/relationships/hyperlink" Target="https://primarycarebulletin.cmail20.com/t/d-l-fkddidk-tluhhdhyld-n/" TargetMode="Externa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s://www.icaew.com/insights/tax-news/2022/aug-2022/hmrc-updates-trs-manual-in-advance-of-1-september-deadline" TargetMode="External"/><Relationship Id="rId44" Type="http://schemas.openxmlformats.org/officeDocument/2006/relationships/hyperlink" Target="https://primarycarebulletin.cmail20.com/t/d-l-fkddidk-tluhhdhyld-h/" TargetMode="External"/><Relationship Id="rId52" Type="http://schemas.openxmlformats.org/officeDocument/2006/relationships/hyperlink" Target="mailto:birmingham.lmc@n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4" ma:contentTypeDescription="Create a new document." ma:contentTypeScope="" ma:versionID="6dbe13767b95ce17c9d575421d38ba5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7e965dd4ac9e398cb52db9a4bde43915"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2.xml><?xml version="1.0" encoding="utf-8"?>
<ds:datastoreItem xmlns:ds="http://schemas.openxmlformats.org/officeDocument/2006/customXml" ds:itemID="{D74F31F0-05F7-4864-9383-EEE2B2F04E2D}"/>
</file>

<file path=customXml/itemProps3.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4087</Words>
  <Characters>23297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2022-08-26T13:01:00Z</dcterms:created>
  <dcterms:modified xsi:type="dcterms:W3CDTF">2022-08-26T13:01:00Z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