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08DF3" w14:textId="2FA83308" w:rsidR="003D21EB" w:rsidRDefault="001A5DEE" w:rsidP="0086562F">
      <w:pPr>
        <w:pStyle w:val="ListParagraph"/>
        <w:numPr>
          <w:ilvl w:val="0"/>
          <w:numId w:val="16"/>
        </w:numPr>
        <w:spacing w:before="240"/>
        <w:rPr>
          <w:rFonts w:cstheme="minorHAnsi"/>
          <w:b/>
          <w:bCs/>
          <w:color w:val="0000FF"/>
          <w:sz w:val="21"/>
          <w:szCs w:val="21"/>
          <w:lang w:eastAsia="en-GB"/>
        </w:rPr>
      </w:pPr>
      <w:r w:rsidRPr="00BE7F01">
        <w:rPr>
          <w:noProof/>
        </w:rPr>
        <mc:AlternateContent>
          <mc:Choice Requires="wps">
            <w:drawing>
              <wp:anchor distT="91440" distB="91440" distL="114300" distR="114300" simplePos="0" relativeHeight="251658752" behindDoc="0" locked="0" layoutInCell="1" allowOverlap="1" wp14:anchorId="739018E8" wp14:editId="2FDD3982">
                <wp:simplePos x="0" y="0"/>
                <wp:positionH relativeFrom="margin">
                  <wp:align>left</wp:align>
                </wp:positionH>
                <wp:positionV relativeFrom="paragraph">
                  <wp:posOffset>0</wp:posOffset>
                </wp:positionV>
                <wp:extent cx="5492750" cy="74295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2750" cy="742950"/>
                        </a:xfrm>
                        <a:prstGeom prst="rect">
                          <a:avLst/>
                        </a:prstGeom>
                        <a:noFill/>
                        <a:ln w="9525">
                          <a:noFill/>
                          <a:miter lim="800000"/>
                          <a:headEnd/>
                          <a:tailEnd/>
                        </a:ln>
                      </wps:spPr>
                      <wps:txbx>
                        <w:txbxContent>
                          <w:p w14:paraId="0F96734A" w14:textId="3DF5F6BE" w:rsidR="001A5DEE" w:rsidRPr="00267854" w:rsidRDefault="001A5DEE" w:rsidP="001A5DEE">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 </w:t>
                            </w:r>
                            <w:r>
                              <w:rPr>
                                <w:b/>
                                <w:bCs/>
                                <w:i/>
                                <w:iCs/>
                                <w:color w:val="4472C4" w:themeColor="accent1"/>
                                <w:sz w:val="44"/>
                                <w:szCs w:val="44"/>
                              </w:rPr>
                              <w:t>8</w:t>
                            </w:r>
                            <w:r w:rsidRPr="001A5DEE">
                              <w:rPr>
                                <w:b/>
                                <w:bCs/>
                                <w:i/>
                                <w:iCs/>
                                <w:color w:val="4472C4" w:themeColor="accent1"/>
                                <w:sz w:val="44"/>
                                <w:szCs w:val="44"/>
                                <w:vertAlign w:val="superscript"/>
                              </w:rPr>
                              <w:t>th</w:t>
                            </w:r>
                            <w:r>
                              <w:rPr>
                                <w:b/>
                                <w:bCs/>
                                <w:i/>
                                <w:iCs/>
                                <w:color w:val="4472C4" w:themeColor="accent1"/>
                                <w:sz w:val="44"/>
                                <w:szCs w:val="44"/>
                              </w:rPr>
                              <w:t xml:space="preserve"> July 2022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9018E8" id="_x0000_t202" coordsize="21600,21600" o:spt="202" path="m,l,21600r21600,l21600,xe">
                <v:stroke joinstyle="miter"/>
                <v:path gradientshapeok="t" o:connecttype="rect"/>
              </v:shapetype>
              <v:shape id="Text Box 2" o:spid="_x0000_s1026" type="#_x0000_t202" style="position:absolute;left:0;text-align:left;margin-left:0;margin-top:0;width:432.5pt;height:58.5pt;z-index:251658752;visibility:visible;mso-wrap-style:square;mso-width-percent:0;mso-height-percent:0;mso-wrap-distance-left:9pt;mso-wrap-distance-top:7.2pt;mso-wrap-distance-right:9pt;mso-wrap-distance-bottom:7.2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" filled="f" stroked="f">
                <v:textbox>
                  <w:txbxContent>
                    <w:p w14:paraId="0F96734A" w14:textId="3DF5F6BE" w:rsidR="001A5DEE" w:rsidRPr="00267854" w:rsidRDefault="001A5DEE" w:rsidP="001A5DEE">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Pr>
                          <w:b/>
                          <w:bCs/>
                          <w:i/>
                          <w:iCs/>
                          <w:color w:val="4472C4" w:themeColor="accent1"/>
                          <w:sz w:val="44"/>
                          <w:szCs w:val="44"/>
                        </w:rPr>
                        <w:t xml:space="preserve"> – </w:t>
                      </w:r>
                      <w:r>
                        <w:rPr>
                          <w:b/>
                          <w:bCs/>
                          <w:i/>
                          <w:iCs/>
                          <w:color w:val="4472C4" w:themeColor="accent1"/>
                          <w:sz w:val="44"/>
                          <w:szCs w:val="44"/>
                        </w:rPr>
                        <w:t>8</w:t>
                      </w:r>
                      <w:r w:rsidRPr="001A5DEE">
                        <w:rPr>
                          <w:b/>
                          <w:bCs/>
                          <w:i/>
                          <w:iCs/>
                          <w:color w:val="4472C4" w:themeColor="accent1"/>
                          <w:sz w:val="44"/>
                          <w:szCs w:val="44"/>
                          <w:vertAlign w:val="superscript"/>
                        </w:rPr>
                        <w:t>th</w:t>
                      </w:r>
                      <w:r>
                        <w:rPr>
                          <w:b/>
                          <w:bCs/>
                          <w:i/>
                          <w:iCs/>
                          <w:color w:val="4472C4" w:themeColor="accent1"/>
                          <w:sz w:val="44"/>
                          <w:szCs w:val="44"/>
                        </w:rPr>
                        <w:t xml:space="preserve"> July 2022</w:t>
                      </w:r>
                    </w:p>
                  </w:txbxContent>
                </v:textbox>
                <w10:wrap type="topAndBottom" anchorx="margin"/>
              </v:shape>
            </w:pict>
          </mc:Fallback>
        </mc:AlternateContent>
      </w:r>
      <w:hyperlink w:anchor="NO1" w:history="1">
        <w:r w:rsidR="00CD28AF" w:rsidRPr="00BA329A">
          <w:rPr>
            <w:rStyle w:val="Hyperlink"/>
            <w:rFonts w:cstheme="minorHAnsi"/>
            <w:b/>
            <w:bCs/>
            <w:sz w:val="21"/>
            <w:szCs w:val="21"/>
            <w:lang w:eastAsia="en-GB"/>
          </w:rPr>
          <w:t>Reminder:</w:t>
        </w:r>
      </w:hyperlink>
      <w:r w:rsidR="00CD28AF">
        <w:rPr>
          <w:rFonts w:cstheme="minorHAnsi"/>
          <w:b/>
          <w:bCs/>
          <w:color w:val="0000FF"/>
          <w:sz w:val="21"/>
          <w:szCs w:val="21"/>
          <w:lang w:eastAsia="en-GB"/>
        </w:rPr>
        <w:t xml:space="preserve"> </w:t>
      </w:r>
      <w:hyperlink w:anchor="NO1" w:history="1">
        <w:r w:rsidR="00CD28AF" w:rsidRPr="00BA329A">
          <w:rPr>
            <w:rStyle w:val="Hyperlink"/>
            <w:rFonts w:cstheme="minorHAnsi"/>
            <w:b/>
            <w:bCs/>
            <w:sz w:val="21"/>
            <w:szCs w:val="21"/>
            <w:lang w:eastAsia="en-GB"/>
          </w:rPr>
          <w:t>Birmingham</w:t>
        </w:r>
        <w:r w:rsidR="0086562F" w:rsidRPr="00BA329A">
          <w:rPr>
            <w:rStyle w:val="Hyperlink"/>
            <w:rFonts w:cstheme="minorHAnsi"/>
            <w:b/>
            <w:bCs/>
            <w:sz w:val="21"/>
            <w:szCs w:val="21"/>
            <w:lang w:eastAsia="en-GB"/>
          </w:rPr>
          <w:t xml:space="preserve"> </w:t>
        </w:r>
        <w:r w:rsidR="00CD28AF" w:rsidRPr="00BA329A">
          <w:rPr>
            <w:rStyle w:val="Hyperlink"/>
            <w:rFonts w:cstheme="minorHAnsi"/>
            <w:b/>
            <w:bCs/>
            <w:sz w:val="21"/>
            <w:szCs w:val="21"/>
            <w:lang w:eastAsia="en-GB"/>
          </w:rPr>
          <w:t>Children’s</w:t>
        </w:r>
        <w:r w:rsidR="0086562F" w:rsidRPr="00BA329A">
          <w:rPr>
            <w:rStyle w:val="Hyperlink"/>
            <w:rFonts w:cstheme="minorHAnsi"/>
            <w:b/>
            <w:bCs/>
            <w:sz w:val="21"/>
            <w:szCs w:val="21"/>
            <w:lang w:eastAsia="en-GB"/>
          </w:rPr>
          <w:t xml:space="preserve"> </w:t>
        </w:r>
        <w:r w:rsidR="00CD28AF" w:rsidRPr="00BA329A">
          <w:rPr>
            <w:rStyle w:val="Hyperlink"/>
            <w:rFonts w:cstheme="minorHAnsi"/>
            <w:b/>
            <w:bCs/>
            <w:sz w:val="21"/>
            <w:szCs w:val="21"/>
            <w:lang w:eastAsia="en-GB"/>
          </w:rPr>
          <w:t>pathology lab</w:t>
        </w:r>
      </w:hyperlink>
    </w:p>
    <w:p w14:paraId="3B88B0D0" w14:textId="791026B8" w:rsidR="00CD28AF" w:rsidRDefault="00BA329A" w:rsidP="0086562F">
      <w:pPr>
        <w:pStyle w:val="ListParagraph"/>
        <w:numPr>
          <w:ilvl w:val="0"/>
          <w:numId w:val="16"/>
        </w:numPr>
        <w:spacing w:before="240"/>
        <w:rPr>
          <w:rFonts w:cstheme="minorHAnsi"/>
          <w:b/>
          <w:bCs/>
          <w:color w:val="0000FF"/>
          <w:sz w:val="21"/>
          <w:szCs w:val="21"/>
          <w:lang w:eastAsia="en-GB"/>
        </w:rPr>
      </w:pPr>
      <w:hyperlink w:anchor="NO2" w:history="1">
        <w:r w:rsidR="00CD28AF" w:rsidRPr="00BA329A">
          <w:rPr>
            <w:rStyle w:val="Hyperlink"/>
            <w:rFonts w:cstheme="minorHAnsi"/>
            <w:b/>
            <w:bCs/>
            <w:sz w:val="21"/>
            <w:szCs w:val="21"/>
            <w:lang w:eastAsia="en-GB"/>
          </w:rPr>
          <w:t xml:space="preserve">Reminder: </w:t>
        </w:r>
        <w:r w:rsidR="00697DEE" w:rsidRPr="00BA329A">
          <w:rPr>
            <w:rStyle w:val="Hyperlink"/>
            <w:rFonts w:cstheme="minorHAnsi"/>
            <w:b/>
            <w:bCs/>
            <w:sz w:val="21"/>
            <w:szCs w:val="21"/>
            <w:lang w:eastAsia="en-GB"/>
          </w:rPr>
          <w:t>Ophthalmology services</w:t>
        </w:r>
      </w:hyperlink>
      <w:r w:rsidR="00697DEE">
        <w:rPr>
          <w:rFonts w:cstheme="minorHAnsi"/>
          <w:b/>
          <w:bCs/>
          <w:color w:val="0000FF"/>
          <w:sz w:val="21"/>
          <w:szCs w:val="21"/>
          <w:lang w:eastAsia="en-GB"/>
        </w:rPr>
        <w:t xml:space="preserve"> </w:t>
      </w:r>
    </w:p>
    <w:p w14:paraId="153A8441" w14:textId="2432A677" w:rsidR="00697DEE" w:rsidRDefault="00BA329A" w:rsidP="0086562F">
      <w:pPr>
        <w:pStyle w:val="ListParagraph"/>
        <w:numPr>
          <w:ilvl w:val="0"/>
          <w:numId w:val="16"/>
        </w:numPr>
        <w:spacing w:before="240"/>
        <w:rPr>
          <w:rFonts w:cstheme="minorHAnsi"/>
          <w:b/>
          <w:bCs/>
          <w:color w:val="0000FF"/>
          <w:sz w:val="21"/>
          <w:szCs w:val="21"/>
          <w:lang w:eastAsia="en-GB"/>
        </w:rPr>
      </w:pPr>
      <w:hyperlink w:anchor="NO3" w:history="1">
        <w:r w:rsidR="00697DEE" w:rsidRPr="00BA329A">
          <w:rPr>
            <w:rStyle w:val="Hyperlink"/>
            <w:rFonts w:cstheme="minorHAnsi"/>
            <w:b/>
            <w:bCs/>
            <w:sz w:val="21"/>
            <w:szCs w:val="21"/>
            <w:lang w:eastAsia="en-GB"/>
          </w:rPr>
          <w:t>New fit note guidance and training package</w:t>
        </w:r>
      </w:hyperlink>
    </w:p>
    <w:p w14:paraId="62E96EC4" w14:textId="05B51193" w:rsidR="00697DEE" w:rsidRDefault="00BA329A" w:rsidP="0086562F">
      <w:pPr>
        <w:pStyle w:val="ListParagraph"/>
        <w:numPr>
          <w:ilvl w:val="0"/>
          <w:numId w:val="16"/>
        </w:numPr>
        <w:spacing w:before="240"/>
        <w:rPr>
          <w:rFonts w:cstheme="minorHAnsi"/>
          <w:b/>
          <w:bCs/>
          <w:color w:val="0000FF"/>
          <w:sz w:val="21"/>
          <w:szCs w:val="21"/>
          <w:lang w:eastAsia="en-GB"/>
        </w:rPr>
      </w:pPr>
      <w:hyperlink w:anchor="NO4" w:history="1">
        <w:r w:rsidR="00697DEE" w:rsidRPr="00BA329A">
          <w:rPr>
            <w:rStyle w:val="Hyperlink"/>
            <w:rFonts w:cstheme="minorHAnsi"/>
            <w:b/>
            <w:bCs/>
            <w:sz w:val="21"/>
            <w:szCs w:val="21"/>
            <w:lang w:eastAsia="en-GB"/>
          </w:rPr>
          <w:t xml:space="preserve">Replacement of Gardasil 9 vaccine in the NHS national HPV </w:t>
        </w:r>
        <w:r w:rsidR="00C01174" w:rsidRPr="00BA329A">
          <w:rPr>
            <w:rStyle w:val="Hyperlink"/>
            <w:rFonts w:cstheme="minorHAnsi"/>
            <w:b/>
            <w:bCs/>
            <w:sz w:val="21"/>
            <w:szCs w:val="21"/>
            <w:lang w:eastAsia="en-GB"/>
          </w:rPr>
          <w:t>immunisation programme</w:t>
        </w:r>
      </w:hyperlink>
      <w:r w:rsidR="00C01174">
        <w:rPr>
          <w:rFonts w:cstheme="minorHAnsi"/>
          <w:b/>
          <w:bCs/>
          <w:color w:val="0000FF"/>
          <w:sz w:val="21"/>
          <w:szCs w:val="21"/>
          <w:lang w:eastAsia="en-GB"/>
        </w:rPr>
        <w:t xml:space="preserve"> </w:t>
      </w:r>
    </w:p>
    <w:p w14:paraId="7BB72EDB" w14:textId="6C627971" w:rsidR="00C01174" w:rsidRDefault="00BA329A" w:rsidP="00C01174">
      <w:pPr>
        <w:pStyle w:val="ListParagraph"/>
        <w:numPr>
          <w:ilvl w:val="0"/>
          <w:numId w:val="16"/>
        </w:numPr>
        <w:spacing w:before="240"/>
        <w:rPr>
          <w:rFonts w:cstheme="minorHAnsi"/>
          <w:b/>
          <w:bCs/>
          <w:color w:val="0000FF"/>
          <w:sz w:val="21"/>
          <w:szCs w:val="21"/>
          <w:lang w:eastAsia="en-GB"/>
        </w:rPr>
      </w:pPr>
      <w:hyperlink w:anchor="NO5" w:history="1">
        <w:r w:rsidR="00C01174" w:rsidRPr="00BA329A">
          <w:rPr>
            <w:rStyle w:val="Hyperlink"/>
            <w:rFonts w:cstheme="minorHAnsi"/>
            <w:b/>
            <w:bCs/>
            <w:sz w:val="21"/>
            <w:szCs w:val="21"/>
            <w:lang w:eastAsia="en-GB"/>
          </w:rPr>
          <w:t>Chemistry lab issue at Sandwell</w:t>
        </w:r>
      </w:hyperlink>
      <w:r w:rsidR="00C01174">
        <w:rPr>
          <w:rFonts w:cstheme="minorHAnsi"/>
          <w:b/>
          <w:bCs/>
          <w:color w:val="0000FF"/>
          <w:sz w:val="21"/>
          <w:szCs w:val="21"/>
          <w:lang w:eastAsia="en-GB"/>
        </w:rPr>
        <w:t xml:space="preserve"> </w:t>
      </w:r>
    </w:p>
    <w:p w14:paraId="4AD44ACB" w14:textId="6C56C9C3" w:rsidR="00C01174" w:rsidRDefault="00BA329A" w:rsidP="00C01174">
      <w:pPr>
        <w:pStyle w:val="ListParagraph"/>
        <w:numPr>
          <w:ilvl w:val="0"/>
          <w:numId w:val="16"/>
        </w:numPr>
        <w:spacing w:before="240"/>
        <w:rPr>
          <w:rFonts w:cstheme="minorHAnsi"/>
          <w:b/>
          <w:bCs/>
          <w:color w:val="0000FF"/>
          <w:sz w:val="21"/>
          <w:szCs w:val="21"/>
          <w:lang w:eastAsia="en-GB"/>
        </w:rPr>
      </w:pPr>
      <w:hyperlink w:anchor="NO6" w:history="1">
        <w:r w:rsidR="00C01174" w:rsidRPr="00BA329A">
          <w:rPr>
            <w:rStyle w:val="Hyperlink"/>
            <w:rFonts w:cstheme="minorHAnsi"/>
            <w:b/>
            <w:bCs/>
            <w:sz w:val="21"/>
            <w:szCs w:val="21"/>
            <w:lang w:eastAsia="en-GB"/>
          </w:rPr>
          <w:t>Birmingham Children pathology lab</w:t>
        </w:r>
      </w:hyperlink>
    </w:p>
    <w:p w14:paraId="38ED8290" w14:textId="0FE2C701" w:rsidR="00C01174" w:rsidRDefault="00BA329A" w:rsidP="00C01174">
      <w:pPr>
        <w:pStyle w:val="ListParagraph"/>
        <w:numPr>
          <w:ilvl w:val="0"/>
          <w:numId w:val="16"/>
        </w:numPr>
        <w:spacing w:before="240"/>
        <w:rPr>
          <w:rFonts w:cstheme="minorHAnsi"/>
          <w:b/>
          <w:bCs/>
          <w:color w:val="0000FF"/>
          <w:sz w:val="21"/>
          <w:szCs w:val="21"/>
          <w:lang w:eastAsia="en-GB"/>
        </w:rPr>
      </w:pPr>
      <w:hyperlink w:anchor="NO7" w:history="1">
        <w:r w:rsidR="00C01174" w:rsidRPr="00BA329A">
          <w:rPr>
            <w:rStyle w:val="Hyperlink"/>
            <w:rFonts w:cstheme="minorHAnsi"/>
            <w:b/>
            <w:bCs/>
            <w:sz w:val="21"/>
            <w:szCs w:val="21"/>
            <w:lang w:eastAsia="en-GB"/>
          </w:rPr>
          <w:t>Data processing Dead assurances</w:t>
        </w:r>
      </w:hyperlink>
    </w:p>
    <w:p w14:paraId="2D2620EF" w14:textId="767D157E" w:rsidR="00C01174" w:rsidRDefault="00BA329A" w:rsidP="00C01174">
      <w:pPr>
        <w:pStyle w:val="ListParagraph"/>
        <w:numPr>
          <w:ilvl w:val="0"/>
          <w:numId w:val="16"/>
        </w:numPr>
        <w:spacing w:before="240"/>
        <w:rPr>
          <w:rFonts w:cstheme="minorHAnsi"/>
          <w:b/>
          <w:bCs/>
          <w:color w:val="0000FF"/>
          <w:sz w:val="21"/>
          <w:szCs w:val="21"/>
          <w:lang w:eastAsia="en-GB"/>
        </w:rPr>
      </w:pPr>
      <w:hyperlink w:anchor="NO8" w:history="1">
        <w:r w:rsidR="00C01174" w:rsidRPr="00BA329A">
          <w:rPr>
            <w:rStyle w:val="Hyperlink"/>
            <w:rFonts w:cstheme="minorHAnsi"/>
            <w:b/>
            <w:bCs/>
            <w:sz w:val="21"/>
            <w:szCs w:val="21"/>
            <w:lang w:eastAsia="en-GB"/>
          </w:rPr>
          <w:t xml:space="preserve">Roll out of new </w:t>
        </w:r>
        <w:r w:rsidR="00935CE8" w:rsidRPr="00BA329A">
          <w:rPr>
            <w:rStyle w:val="Hyperlink"/>
            <w:rFonts w:cstheme="minorHAnsi"/>
            <w:b/>
            <w:bCs/>
            <w:sz w:val="21"/>
            <w:szCs w:val="21"/>
            <w:lang w:eastAsia="en-GB"/>
          </w:rPr>
          <w:t>digital firearms marker for GP Practices</w:t>
        </w:r>
      </w:hyperlink>
      <w:r w:rsidR="00935CE8">
        <w:rPr>
          <w:rFonts w:cstheme="minorHAnsi"/>
          <w:b/>
          <w:bCs/>
          <w:color w:val="0000FF"/>
          <w:sz w:val="21"/>
          <w:szCs w:val="21"/>
          <w:lang w:eastAsia="en-GB"/>
        </w:rPr>
        <w:t xml:space="preserve"> </w:t>
      </w:r>
    </w:p>
    <w:p w14:paraId="5A12F02E" w14:textId="3AF3C041" w:rsidR="00FC08E9" w:rsidRPr="00935CE8" w:rsidRDefault="00BA329A" w:rsidP="003515F9">
      <w:pPr>
        <w:pStyle w:val="ListParagraph"/>
        <w:numPr>
          <w:ilvl w:val="0"/>
          <w:numId w:val="16"/>
        </w:numPr>
        <w:spacing w:before="240"/>
        <w:rPr>
          <w:rFonts w:cstheme="minorHAnsi"/>
          <w:b/>
          <w:bCs/>
          <w:color w:val="0000FF"/>
          <w:sz w:val="21"/>
          <w:szCs w:val="21"/>
          <w:lang w:eastAsia="en-GB"/>
        </w:rPr>
      </w:pPr>
      <w:hyperlink w:anchor="NO9" w:history="1">
        <w:r w:rsidR="00935CE8" w:rsidRPr="00BA329A">
          <w:rPr>
            <w:rStyle w:val="Hyperlink"/>
            <w:rFonts w:cstheme="minorHAnsi"/>
            <w:b/>
            <w:bCs/>
            <w:sz w:val="21"/>
            <w:szCs w:val="21"/>
            <w:lang w:eastAsia="en-GB"/>
          </w:rPr>
          <w:t>Firearms marker</w:t>
        </w:r>
      </w:hyperlink>
      <w:r w:rsidR="00935CE8">
        <w:rPr>
          <w:rFonts w:cstheme="minorHAnsi"/>
          <w:b/>
          <w:bCs/>
          <w:color w:val="0000FF"/>
          <w:sz w:val="21"/>
          <w:szCs w:val="21"/>
          <w:lang w:eastAsia="en-GB"/>
        </w:rPr>
        <w:t xml:space="preserve"> </w:t>
      </w:r>
    </w:p>
    <w:p w14:paraId="26EEC219" w14:textId="77777777" w:rsidR="00FC08E9" w:rsidRDefault="00FC08E9" w:rsidP="003515F9">
      <w:pPr>
        <w:spacing w:before="240"/>
        <w:rPr>
          <w:rFonts w:cstheme="minorHAnsi"/>
          <w:b/>
          <w:bCs/>
          <w:color w:val="0000FF"/>
          <w:sz w:val="21"/>
          <w:szCs w:val="21"/>
          <w:lang w:eastAsia="en-GB"/>
        </w:rPr>
      </w:pPr>
    </w:p>
    <w:p w14:paraId="296A8DC1" w14:textId="1C81A032" w:rsidR="00FB71E9" w:rsidRPr="00FC08E9" w:rsidRDefault="008A3E29" w:rsidP="008A3E2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rPr>
          <w:rFonts w:cstheme="minorHAnsi"/>
          <w:b/>
          <w:bCs/>
          <w:color w:val="000000" w:themeColor="text1"/>
          <w:lang w:eastAsia="en-GB"/>
        </w:rPr>
      </w:pPr>
      <w:bookmarkStart w:id="0" w:name="NO1"/>
      <w:r w:rsidRPr="00FC08E9">
        <w:rPr>
          <w:rFonts w:cstheme="minorHAnsi"/>
          <w:b/>
          <w:bCs/>
          <w:color w:val="000000" w:themeColor="text1"/>
          <w:lang w:eastAsia="en-GB"/>
        </w:rPr>
        <w:t xml:space="preserve">1. </w:t>
      </w:r>
      <w:r w:rsidR="00FB71E9" w:rsidRPr="00FC08E9">
        <w:rPr>
          <w:rFonts w:cstheme="minorHAnsi"/>
          <w:b/>
          <w:bCs/>
          <w:color w:val="000000" w:themeColor="text1"/>
          <w:lang w:eastAsia="en-GB"/>
        </w:rPr>
        <w:t>Reminder: Birmingham Children's pathology lab</w:t>
      </w:r>
    </w:p>
    <w:bookmarkEnd w:id="0"/>
    <w:p w14:paraId="2C5D2AB9" w14:textId="77777777" w:rsidR="00FB71E9" w:rsidRPr="00CF1A58" w:rsidRDefault="00FB71E9" w:rsidP="008A3E2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rPr>
          <w:rFonts w:cstheme="minorHAnsi"/>
          <w:color w:val="222222"/>
          <w:lang w:eastAsia="en-GB"/>
        </w:rPr>
      </w:pPr>
      <w:r w:rsidRPr="00CF1A58">
        <w:rPr>
          <w:rFonts w:cstheme="minorHAnsi"/>
          <w:color w:val="222222"/>
          <w:lang w:eastAsia="en-GB"/>
        </w:rPr>
        <w:t xml:space="preserve">Colleagues are reminded of the new convenient online booking system which allows practices to pre-book time slots at Birmingham Children’s Hospital’s main outpatients department. The simple-to-use </w:t>
      </w:r>
      <w:proofErr w:type="spellStart"/>
      <w:r w:rsidRPr="00CF1A58">
        <w:rPr>
          <w:rFonts w:cstheme="minorHAnsi"/>
          <w:color w:val="222222"/>
          <w:lang w:eastAsia="en-GB"/>
        </w:rPr>
        <w:t>DrDoctor</w:t>
      </w:r>
      <w:proofErr w:type="spellEnd"/>
      <w:r w:rsidRPr="00CF1A58">
        <w:rPr>
          <w:rFonts w:cstheme="minorHAnsi"/>
          <w:color w:val="222222"/>
          <w:lang w:eastAsia="en-GB"/>
        </w:rPr>
        <w:t xml:space="preserve"> platform will allow the booking of appointments in advance during any available time slot between 10am and 3.45pm, Monday to Friday.</w:t>
      </w:r>
    </w:p>
    <w:p w14:paraId="1E8D8BA6" w14:textId="27CCE649" w:rsidR="00F61A77" w:rsidRPr="00CF1A58" w:rsidRDefault="00FB71E9" w:rsidP="008A3E2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240"/>
        <w:rPr>
          <w:rFonts w:cstheme="minorHAnsi"/>
          <w:b/>
          <w:bCs/>
          <w:color w:val="0000FF"/>
          <w:lang w:eastAsia="en-GB"/>
        </w:rPr>
      </w:pPr>
      <w:r w:rsidRPr="00CF1A58">
        <w:rPr>
          <w:rFonts w:cstheme="minorHAnsi"/>
          <w:color w:val="222222"/>
          <w:lang w:eastAsia="en-GB"/>
        </w:rPr>
        <w:t>To access the system people can either go directly to </w:t>
      </w:r>
      <w:hyperlink r:id="rId11" w:history="1">
        <w:r w:rsidRPr="00CF1A58">
          <w:rPr>
            <w:rStyle w:val="Hyperlink"/>
            <w:rFonts w:cstheme="minorHAnsi"/>
            <w:color w:val="005EB8"/>
            <w:lang w:eastAsia="en-GB"/>
          </w:rPr>
          <w:t>https://my.drdoctor.co.uk/clinic/bloodtest</w:t>
        </w:r>
      </w:hyperlink>
      <w:r w:rsidRPr="00CF1A58">
        <w:rPr>
          <w:rFonts w:cstheme="minorHAnsi"/>
          <w:color w:val="222222"/>
          <w:lang w:eastAsia="en-GB"/>
        </w:rPr>
        <w:t xml:space="preserve"> or, alternatively, via the Birmingham Women’s and Children’s NHS Foundation Trust </w:t>
      </w:r>
      <w:hyperlink r:id="rId12" w:history="1">
        <w:r w:rsidRPr="00CF1A58">
          <w:rPr>
            <w:rStyle w:val="Hyperlink"/>
            <w:rFonts w:cstheme="minorHAnsi"/>
            <w:color w:val="005EB8"/>
            <w:lang w:eastAsia="en-GB"/>
          </w:rPr>
          <w:t>website</w:t>
        </w:r>
      </w:hyperlink>
      <w:r w:rsidRPr="00CF1A58">
        <w:rPr>
          <w:rFonts w:cstheme="minorHAnsi"/>
          <w:color w:val="222222"/>
          <w:lang w:eastAsia="en-GB"/>
        </w:rPr>
        <w:t>. Users then simply select a date and time that suits and enter the details as prompted, including the patient’s NHS number. Should an appointment need to be cancelled, the Children’s Hospital Team can be contacted via 0121</w:t>
      </w:r>
      <w:r>
        <w:rPr>
          <w:rFonts w:ascii="Helvetica" w:hAnsi="Helvetica" w:cs="Helvetica"/>
          <w:color w:val="222222"/>
          <w:sz w:val="21"/>
          <w:szCs w:val="21"/>
          <w:lang w:eastAsia="en-GB"/>
        </w:rPr>
        <w:t xml:space="preserve"> </w:t>
      </w:r>
      <w:r w:rsidRPr="00CF1A58">
        <w:rPr>
          <w:rFonts w:cstheme="minorHAnsi"/>
          <w:color w:val="222222"/>
          <w:lang w:eastAsia="en-GB"/>
        </w:rPr>
        <w:t>333</w:t>
      </w:r>
    </w:p>
    <w:p w14:paraId="3CD77AAA" w14:textId="77777777" w:rsidR="00F61A77" w:rsidRDefault="00F61A77" w:rsidP="003515F9">
      <w:pPr>
        <w:spacing w:before="240"/>
        <w:rPr>
          <w:rFonts w:cstheme="minorHAnsi"/>
          <w:b/>
          <w:bCs/>
          <w:color w:val="0000FF"/>
          <w:sz w:val="21"/>
          <w:szCs w:val="21"/>
          <w:lang w:eastAsia="en-GB"/>
        </w:rPr>
      </w:pPr>
    </w:p>
    <w:p w14:paraId="648CA060" w14:textId="492E992F" w:rsidR="00840E4C" w:rsidRPr="00935CE8" w:rsidRDefault="00CF1A58" w:rsidP="005201F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150" w:line="300" w:lineRule="auto"/>
        <w:rPr>
          <w:rFonts w:cstheme="minorHAnsi"/>
          <w:b/>
          <w:bCs/>
          <w:color w:val="000000" w:themeColor="text1"/>
          <w:lang w:eastAsia="en-GB"/>
        </w:rPr>
      </w:pPr>
      <w:bookmarkStart w:id="1" w:name="NO2"/>
      <w:r w:rsidRPr="00935CE8">
        <w:rPr>
          <w:rFonts w:cstheme="minorHAnsi"/>
          <w:b/>
          <w:bCs/>
          <w:color w:val="000000" w:themeColor="text1"/>
          <w:lang w:eastAsia="en-GB"/>
        </w:rPr>
        <w:t>2.</w:t>
      </w:r>
      <w:r w:rsidR="00840E4C" w:rsidRPr="00935CE8">
        <w:rPr>
          <w:rFonts w:cstheme="minorHAnsi"/>
          <w:b/>
          <w:bCs/>
          <w:color w:val="000000" w:themeColor="text1"/>
          <w:lang w:eastAsia="en-GB"/>
        </w:rPr>
        <w:t>Reminder: Ophthalmology services</w:t>
      </w:r>
    </w:p>
    <w:bookmarkEnd w:id="1"/>
    <w:p w14:paraId="1DA50EE8" w14:textId="346377A7" w:rsidR="00840E4C" w:rsidRPr="00CF1A58" w:rsidRDefault="00840E4C" w:rsidP="006E5E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cstheme="minorHAnsi"/>
          <w:lang w:eastAsia="en-GB"/>
        </w:rPr>
      </w:pPr>
      <w:r w:rsidRPr="00CF1A58">
        <w:rPr>
          <w:rFonts w:cstheme="minorHAnsi"/>
          <w:color w:val="222222"/>
          <w:lang w:eastAsia="en-GB"/>
        </w:rPr>
        <w:t xml:space="preserve">With the migration of some GP practices to NHS Birmingham and Solihull ICB as of 1 July 2022, we would like to take this opportunity to inform you of the key ophthalmology pathways. In November 2020, the now-abolished NHS Birmingham and Solihull CCG worked with </w:t>
      </w:r>
      <w:proofErr w:type="spellStart"/>
      <w:r w:rsidRPr="00CF1A58">
        <w:rPr>
          <w:rFonts w:cstheme="minorHAnsi"/>
          <w:color w:val="222222"/>
          <w:lang w:eastAsia="en-GB"/>
        </w:rPr>
        <w:t>HealthHarmonie</w:t>
      </w:r>
      <w:proofErr w:type="spellEnd"/>
      <w:r w:rsidRPr="00CF1A58">
        <w:rPr>
          <w:rFonts w:cstheme="minorHAnsi"/>
          <w:color w:val="222222"/>
          <w:lang w:eastAsia="en-GB"/>
        </w:rPr>
        <w:t xml:space="preserve"> to introduce a Single Point of Access for Ophthalmology referrals. The aim of this pathway was to ensure that patients are referred to the correct pathway first time. Below we have detailed the key points of this pathway:</w:t>
      </w:r>
    </w:p>
    <w:p w14:paraId="60399925" w14:textId="77777777" w:rsidR="00840E4C" w:rsidRPr="00CF1A58" w:rsidRDefault="00840E4C" w:rsidP="006E5E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eastAsia="Times New Roman" w:cstheme="minorHAnsi"/>
          <w:color w:val="222222"/>
          <w:lang w:eastAsia="en-GB"/>
        </w:rPr>
      </w:pPr>
      <w:r w:rsidRPr="00CF1A58">
        <w:rPr>
          <w:rFonts w:eastAsia="Times New Roman" w:cstheme="minorHAnsi"/>
          <w:color w:val="222222"/>
          <w:lang w:eastAsia="en-GB"/>
        </w:rPr>
        <w:t xml:space="preserve">All referrals except the conditions detailed below </w:t>
      </w:r>
    </w:p>
    <w:p w14:paraId="1CB5097E" w14:textId="77777777" w:rsidR="00840E4C" w:rsidRPr="00CF1A58" w:rsidRDefault="00840E4C" w:rsidP="006E5E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eastAsia="Times New Roman" w:cstheme="minorHAnsi"/>
          <w:color w:val="222222"/>
          <w:lang w:eastAsia="en-GB"/>
        </w:rPr>
      </w:pPr>
      <w:r w:rsidRPr="00CF1A58">
        <w:rPr>
          <w:rFonts w:eastAsia="Times New Roman" w:cstheme="minorHAnsi"/>
          <w:color w:val="222222"/>
          <w:lang w:eastAsia="en-GB"/>
        </w:rPr>
        <w:t>Suspected Cancers (2ww Pathway)</w:t>
      </w:r>
    </w:p>
    <w:p w14:paraId="6839F393" w14:textId="77777777" w:rsidR="00840E4C" w:rsidRPr="00CF1A58" w:rsidRDefault="00840E4C" w:rsidP="006E5E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eastAsia="Times New Roman" w:cstheme="minorHAnsi"/>
          <w:color w:val="222222"/>
          <w:lang w:eastAsia="en-GB"/>
        </w:rPr>
      </w:pPr>
      <w:r w:rsidRPr="00CF1A58">
        <w:rPr>
          <w:rFonts w:eastAsia="Times New Roman" w:cstheme="minorHAnsi"/>
          <w:color w:val="222222"/>
          <w:lang w:eastAsia="en-GB"/>
        </w:rPr>
        <w:t>Patients who need cataract surgery</w:t>
      </w:r>
    </w:p>
    <w:p w14:paraId="12422F36" w14:textId="77777777" w:rsidR="00840E4C" w:rsidRPr="00CF1A58" w:rsidRDefault="00840E4C" w:rsidP="006E5E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eastAsia="Times New Roman" w:cstheme="minorHAnsi"/>
          <w:color w:val="222222"/>
          <w:lang w:eastAsia="en-GB"/>
        </w:rPr>
      </w:pPr>
      <w:r w:rsidRPr="00CF1A58">
        <w:rPr>
          <w:rFonts w:eastAsia="Times New Roman" w:cstheme="minorHAnsi"/>
          <w:color w:val="222222"/>
          <w:lang w:eastAsia="en-GB"/>
        </w:rPr>
        <w:t>Patients with diabetic retinopathy</w:t>
      </w:r>
    </w:p>
    <w:p w14:paraId="1019F82C" w14:textId="77777777" w:rsidR="00840E4C" w:rsidRPr="00CF1A58" w:rsidRDefault="00840E4C" w:rsidP="006E5E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eastAsia="Times New Roman" w:cstheme="minorHAnsi"/>
          <w:color w:val="222222"/>
          <w:lang w:eastAsia="en-GB"/>
        </w:rPr>
      </w:pPr>
      <w:r w:rsidRPr="00CF1A58">
        <w:rPr>
          <w:rFonts w:eastAsia="Times New Roman" w:cstheme="minorHAnsi"/>
          <w:color w:val="222222"/>
          <w:lang w:eastAsia="en-GB"/>
        </w:rPr>
        <w:t>Wet AMD</w:t>
      </w:r>
    </w:p>
    <w:p w14:paraId="4F526362" w14:textId="77777777" w:rsidR="00840E4C" w:rsidRPr="00CF1A58" w:rsidRDefault="00840E4C" w:rsidP="006E5E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eastAsia="Times New Roman" w:cstheme="minorHAnsi"/>
          <w:color w:val="222222"/>
          <w:lang w:eastAsia="en-GB"/>
        </w:rPr>
      </w:pPr>
      <w:r w:rsidRPr="00CF1A58">
        <w:rPr>
          <w:rFonts w:eastAsia="Times New Roman" w:cstheme="minorHAnsi"/>
          <w:color w:val="222222"/>
          <w:lang w:eastAsia="en-GB"/>
        </w:rPr>
        <w:lastRenderedPageBreak/>
        <w:t xml:space="preserve">Patients likely to need inpatient surgery or Red Flag Conditions (Please see </w:t>
      </w:r>
      <w:proofErr w:type="spellStart"/>
      <w:r w:rsidRPr="00CF1A58">
        <w:rPr>
          <w:rFonts w:eastAsia="Times New Roman" w:cstheme="minorHAnsi"/>
          <w:color w:val="222222"/>
          <w:lang w:eastAsia="en-GB"/>
        </w:rPr>
        <w:t>Optom</w:t>
      </w:r>
      <w:proofErr w:type="spellEnd"/>
      <w:r w:rsidRPr="00CF1A58">
        <w:rPr>
          <w:rFonts w:eastAsia="Times New Roman" w:cstheme="minorHAnsi"/>
          <w:color w:val="222222"/>
          <w:lang w:eastAsia="en-GB"/>
        </w:rPr>
        <w:t xml:space="preserve"> Community Ophthalmology service pack)</w:t>
      </w:r>
    </w:p>
    <w:p w14:paraId="26BB97AC" w14:textId="77777777" w:rsidR="00840E4C" w:rsidRPr="00CF1A58" w:rsidRDefault="00840E4C" w:rsidP="006E5E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eastAsia="Times New Roman" w:cstheme="minorHAnsi"/>
          <w:color w:val="222222"/>
          <w:lang w:eastAsia="en-GB"/>
        </w:rPr>
      </w:pPr>
      <w:r w:rsidRPr="00CF1A58">
        <w:rPr>
          <w:rFonts w:eastAsia="Times New Roman" w:cstheme="minorHAnsi"/>
          <w:color w:val="222222"/>
          <w:lang w:eastAsia="en-GB"/>
        </w:rPr>
        <w:t>Patients under six</w:t>
      </w:r>
    </w:p>
    <w:p w14:paraId="05B658A3" w14:textId="77777777" w:rsidR="00840E4C" w:rsidRPr="00CF1A58" w:rsidRDefault="00840E4C" w:rsidP="006E5E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eastAsia="Times New Roman" w:cstheme="minorHAnsi"/>
          <w:color w:val="222222"/>
          <w:lang w:eastAsia="en-GB"/>
        </w:rPr>
      </w:pPr>
      <w:proofErr w:type="spellStart"/>
      <w:r w:rsidRPr="00CF1A58">
        <w:rPr>
          <w:rFonts w:eastAsia="Times New Roman" w:cstheme="minorHAnsi"/>
          <w:color w:val="222222"/>
          <w:lang w:eastAsia="en-GB"/>
        </w:rPr>
        <w:t>Healthharmonie’s</w:t>
      </w:r>
      <w:proofErr w:type="spellEnd"/>
      <w:r w:rsidRPr="00CF1A58">
        <w:rPr>
          <w:rFonts w:eastAsia="Times New Roman" w:cstheme="minorHAnsi"/>
          <w:color w:val="222222"/>
          <w:lang w:eastAsia="en-GB"/>
        </w:rPr>
        <w:t xml:space="preserve"> team will triage the referral and will either send the patient to a community clinic (Harborne, Sutton Coldfield, </w:t>
      </w:r>
      <w:proofErr w:type="spellStart"/>
      <w:r w:rsidRPr="00CF1A58">
        <w:rPr>
          <w:rFonts w:eastAsia="Times New Roman" w:cstheme="minorHAnsi"/>
          <w:color w:val="222222"/>
          <w:lang w:eastAsia="en-GB"/>
        </w:rPr>
        <w:t>Sparkhill</w:t>
      </w:r>
      <w:proofErr w:type="spellEnd"/>
      <w:r w:rsidRPr="00CF1A58">
        <w:rPr>
          <w:rFonts w:eastAsia="Times New Roman" w:cstheme="minorHAnsi"/>
          <w:color w:val="222222"/>
          <w:lang w:eastAsia="en-GB"/>
        </w:rPr>
        <w:t xml:space="preserve"> and Solihull) or send them into secondary care if required. </w:t>
      </w:r>
    </w:p>
    <w:p w14:paraId="3F730CB4" w14:textId="77777777" w:rsidR="00840E4C" w:rsidRPr="00CF1A58" w:rsidRDefault="00840E4C" w:rsidP="006E5E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00" w:lineRule="auto"/>
        <w:rPr>
          <w:rFonts w:cstheme="minorHAnsi"/>
          <w:lang w:eastAsia="en-GB"/>
        </w:rPr>
      </w:pPr>
    </w:p>
    <w:p w14:paraId="3BBB24AA" w14:textId="77777777" w:rsidR="00840E4C" w:rsidRPr="00CF1A58" w:rsidRDefault="00840E4C" w:rsidP="006E5E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22222"/>
          <w:lang w:eastAsia="en-GB"/>
        </w:rPr>
      </w:pPr>
      <w:r w:rsidRPr="00CF1A58">
        <w:rPr>
          <w:rFonts w:cstheme="minorHAnsi"/>
          <w:color w:val="222222"/>
          <w:lang w:eastAsia="en-GB"/>
        </w:rPr>
        <w:t xml:space="preserve">Please </w:t>
      </w:r>
      <w:hyperlink r:id="rId13" w:history="1">
        <w:r w:rsidRPr="00CF1A58">
          <w:rPr>
            <w:rStyle w:val="Hyperlink"/>
            <w:rFonts w:cstheme="minorHAnsi"/>
            <w:color w:val="005EB8"/>
            <w:lang w:eastAsia="en-GB"/>
          </w:rPr>
          <w:t>click to view</w:t>
        </w:r>
      </w:hyperlink>
      <w:r w:rsidRPr="00CF1A58">
        <w:rPr>
          <w:rFonts w:cstheme="minorHAnsi"/>
          <w:color w:val="222222"/>
          <w:lang w:eastAsia="en-GB"/>
        </w:rPr>
        <w:t xml:space="preserve"> the new service pathway for your information. We look forward to continuing to work with you as we develop the local ophthalmology services. If you have any queries, please contact </w:t>
      </w:r>
      <w:hyperlink r:id="rId14" w:history="1">
        <w:r w:rsidRPr="00CF1A58">
          <w:rPr>
            <w:rStyle w:val="Hyperlink"/>
            <w:rFonts w:cstheme="minorHAnsi"/>
            <w:color w:val="005EB8"/>
            <w:lang w:eastAsia="en-GB"/>
          </w:rPr>
          <w:t>Sarah Watson</w:t>
        </w:r>
      </w:hyperlink>
      <w:r w:rsidRPr="00CF1A58">
        <w:rPr>
          <w:rFonts w:cstheme="minorHAnsi"/>
          <w:color w:val="222222"/>
          <w:lang w:eastAsia="en-GB"/>
        </w:rPr>
        <w:t>, Commissioning Manager for Planned Care.</w:t>
      </w:r>
    </w:p>
    <w:p w14:paraId="157A6E58" w14:textId="77777777" w:rsidR="00840E4C" w:rsidRDefault="00840E4C" w:rsidP="006E5E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ascii="Helvetica" w:hAnsi="Helvetica" w:cs="Helvetica"/>
          <w:color w:val="222222"/>
          <w:sz w:val="21"/>
          <w:szCs w:val="21"/>
          <w:lang w:eastAsia="en-GB"/>
        </w:rPr>
      </w:pPr>
    </w:p>
    <w:p w14:paraId="298ACA3D" w14:textId="77777777" w:rsidR="008A3E29" w:rsidRDefault="008A3E29" w:rsidP="003515F9">
      <w:pPr>
        <w:spacing w:before="240"/>
        <w:rPr>
          <w:rFonts w:cstheme="minorHAnsi"/>
          <w:b/>
          <w:bCs/>
          <w:color w:val="0000FF"/>
          <w:sz w:val="21"/>
          <w:szCs w:val="21"/>
          <w:lang w:eastAsia="en-GB"/>
        </w:rPr>
      </w:pPr>
    </w:p>
    <w:p w14:paraId="71E4F4C6" w14:textId="40089163" w:rsidR="00F105F0" w:rsidRPr="00F105F0" w:rsidRDefault="00F105F0" w:rsidP="00F105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15" w:lineRule="exact"/>
        <w:textAlignment w:val="center"/>
        <w:rPr>
          <w:rFonts w:cstheme="minorHAnsi"/>
          <w:color w:val="030303"/>
          <w:position w:val="17"/>
          <w:lang w:eastAsia="en-GB"/>
        </w:rPr>
      </w:pPr>
      <w:bookmarkStart w:id="2" w:name="NO3"/>
      <w:r>
        <w:rPr>
          <w:rFonts w:cstheme="minorHAnsi"/>
          <w:b/>
          <w:bCs/>
          <w:color w:val="030303"/>
          <w:position w:val="17"/>
          <w:lang w:eastAsia="en-GB"/>
        </w:rPr>
        <w:t>3.</w:t>
      </w:r>
      <w:r w:rsidRPr="00F105F0">
        <w:rPr>
          <w:rFonts w:cstheme="minorHAnsi"/>
          <w:b/>
          <w:bCs/>
          <w:color w:val="030303"/>
          <w:position w:val="17"/>
          <w:lang w:eastAsia="en-GB"/>
        </w:rPr>
        <w:t>New fit note guidance and training package</w:t>
      </w:r>
      <w:r w:rsidRPr="00F105F0">
        <w:rPr>
          <w:rFonts w:cstheme="minorHAnsi"/>
          <w:color w:val="030303"/>
          <w:position w:val="17"/>
          <w:lang w:eastAsia="en-GB"/>
        </w:rPr>
        <w:br/>
      </w:r>
      <w:bookmarkEnd w:id="2"/>
      <w:r w:rsidRPr="00F105F0">
        <w:rPr>
          <w:rFonts w:cstheme="minorHAnsi"/>
          <w:color w:val="030303"/>
          <w:position w:val="17"/>
          <w:lang w:eastAsia="en-GB"/>
        </w:rPr>
        <w:t>In last week’s issue we announced that, from 1 July, new legislation allowed nurses, occupational therapists, pharmacists, and physiotherapists to legally certify fit notes, in addition to doctors.</w:t>
      </w:r>
    </w:p>
    <w:p w14:paraId="778F4111" w14:textId="77777777" w:rsidR="00F105F0" w:rsidRPr="00F105F0" w:rsidRDefault="00F105F0" w:rsidP="00F105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exact"/>
        <w:textAlignment w:val="center"/>
        <w:rPr>
          <w:rFonts w:cstheme="minorHAnsi"/>
          <w:color w:val="FFFFFF"/>
          <w:position w:val="17"/>
          <w:lang w:eastAsia="en-GB"/>
        </w:rPr>
      </w:pPr>
      <w:r w:rsidRPr="00F105F0">
        <w:rPr>
          <w:rFonts w:cstheme="minorHAnsi"/>
          <w:color w:val="030303"/>
          <w:position w:val="17"/>
          <w:lang w:eastAsia="en-GB"/>
        </w:rPr>
        <w:t xml:space="preserve">More detailed guidance has now been published confirming </w:t>
      </w:r>
      <w:hyperlink r:id="rId15" w:history="1">
        <w:r w:rsidRPr="00F105F0">
          <w:rPr>
            <w:rStyle w:val="Hyperlink"/>
            <w:rFonts w:cstheme="minorHAnsi"/>
            <w:color w:val="005EB8"/>
            <w:position w:val="17"/>
            <w:lang w:eastAsia="en-GB"/>
          </w:rPr>
          <w:t>who can issue fit notes: guidance for healthcare professionals and their employers</w:t>
        </w:r>
      </w:hyperlink>
      <w:r w:rsidRPr="00F105F0">
        <w:rPr>
          <w:rFonts w:cstheme="minorHAnsi"/>
          <w:color w:val="030303"/>
          <w:position w:val="17"/>
          <w:lang w:eastAsia="en-GB"/>
        </w:rPr>
        <w:t>.</w:t>
      </w:r>
    </w:p>
    <w:p w14:paraId="4DC0342B" w14:textId="77777777" w:rsidR="00F105F0" w:rsidRPr="00F105F0" w:rsidRDefault="00F105F0" w:rsidP="00F105F0">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exact"/>
        <w:textAlignment w:val="center"/>
        <w:rPr>
          <w:rFonts w:cstheme="minorHAnsi"/>
          <w:color w:val="FFFFFF"/>
          <w:position w:val="17"/>
          <w:lang w:eastAsia="en-GB"/>
        </w:rPr>
      </w:pPr>
      <w:r w:rsidRPr="00F105F0">
        <w:rPr>
          <w:rFonts w:cstheme="minorHAnsi"/>
          <w:color w:val="030303"/>
          <w:position w:val="17"/>
          <w:lang w:eastAsia="en-GB"/>
        </w:rPr>
        <w:t xml:space="preserve">A </w:t>
      </w:r>
      <w:hyperlink r:id="rId16" w:history="1">
        <w:r w:rsidRPr="00F105F0">
          <w:rPr>
            <w:rStyle w:val="Hyperlink"/>
            <w:rFonts w:cstheme="minorHAnsi"/>
            <w:color w:val="005EB8"/>
            <w:position w:val="17"/>
            <w:lang w:eastAsia="en-GB"/>
          </w:rPr>
          <w:t>fit note training package is also available</w:t>
        </w:r>
      </w:hyperlink>
      <w:r w:rsidRPr="00F105F0">
        <w:rPr>
          <w:rFonts w:cstheme="minorHAnsi"/>
          <w:color w:val="030303"/>
          <w:position w:val="17"/>
          <w:lang w:eastAsia="en-GB"/>
        </w:rPr>
        <w:t> for all healthcare professionals, including doctors. GP IT systems are expected to be updated by the start of September. However, GPs should check with individual suppliers as they are operating on different timescales.</w:t>
      </w:r>
    </w:p>
    <w:p w14:paraId="08076D3E" w14:textId="77777777" w:rsidR="00F61A77" w:rsidRDefault="00F61A77" w:rsidP="003515F9">
      <w:pPr>
        <w:spacing w:before="240"/>
        <w:rPr>
          <w:rFonts w:ascii="Arial" w:hAnsi="Arial" w:cs="Arial"/>
          <w:b/>
          <w:bCs/>
          <w:color w:val="030303"/>
          <w:position w:val="17"/>
          <w:sz w:val="20"/>
          <w:szCs w:val="20"/>
          <w:lang w:eastAsia="en-GB"/>
        </w:rPr>
      </w:pPr>
    </w:p>
    <w:p w14:paraId="01977B84" w14:textId="55AB81B0" w:rsidR="006E5E51" w:rsidRPr="006E5E51" w:rsidRDefault="006E5E51" w:rsidP="006E5E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exact"/>
        <w:textAlignment w:val="center"/>
        <w:rPr>
          <w:rFonts w:cstheme="minorHAnsi"/>
          <w:color w:val="030303"/>
          <w:position w:val="17"/>
          <w:lang w:eastAsia="en-GB"/>
        </w:rPr>
      </w:pPr>
      <w:bookmarkStart w:id="3" w:name="NO4"/>
      <w:r>
        <w:rPr>
          <w:rFonts w:cstheme="minorHAnsi"/>
          <w:b/>
          <w:bCs/>
          <w:color w:val="030303"/>
          <w:position w:val="17"/>
          <w:lang w:eastAsia="en-GB"/>
        </w:rPr>
        <w:t>4.</w:t>
      </w:r>
      <w:r w:rsidRPr="006E5E51">
        <w:rPr>
          <w:rFonts w:cstheme="minorHAnsi"/>
          <w:b/>
          <w:bCs/>
          <w:color w:val="030303"/>
          <w:position w:val="17"/>
          <w:lang w:eastAsia="en-GB"/>
        </w:rPr>
        <w:t>Replacement of Gardasil® by Gardasil 9® vaccine in the NHS national HPV immunisation programme</w:t>
      </w:r>
    </w:p>
    <w:bookmarkEnd w:id="3"/>
    <w:p w14:paraId="2B6A3AC4" w14:textId="77777777" w:rsidR="006E5E51" w:rsidRPr="006E5E51" w:rsidRDefault="006E5E51" w:rsidP="006E5E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15" w:lineRule="atLeast"/>
        <w:textAlignment w:val="center"/>
        <w:rPr>
          <w:rFonts w:cstheme="minorHAnsi"/>
          <w:color w:val="030303"/>
          <w:position w:val="17"/>
          <w:lang w:eastAsia="en-GB"/>
        </w:rPr>
      </w:pPr>
      <w:r w:rsidRPr="006E5E51">
        <w:rPr>
          <w:rFonts w:cstheme="minorHAnsi"/>
          <w:color w:val="030303"/>
          <w:position w:val="17"/>
          <w:lang w:eastAsia="en-GB"/>
        </w:rPr>
        <w:t xml:space="preserve">The vaccine supplied by UKHSA via </w:t>
      </w:r>
      <w:proofErr w:type="spellStart"/>
      <w:r w:rsidRPr="006E5E51">
        <w:rPr>
          <w:rFonts w:cstheme="minorHAnsi"/>
          <w:color w:val="030303"/>
          <w:position w:val="17"/>
          <w:lang w:eastAsia="en-GB"/>
        </w:rPr>
        <w:t>ImmForm</w:t>
      </w:r>
      <w:proofErr w:type="spellEnd"/>
      <w:r w:rsidRPr="006E5E51">
        <w:rPr>
          <w:rFonts w:cstheme="minorHAnsi"/>
          <w:color w:val="030303"/>
          <w:position w:val="17"/>
          <w:lang w:eastAsia="en-GB"/>
        </w:rPr>
        <w:t xml:space="preserve"> for the Human papillomavirus (HPV) immunisation programme will change from Gardasil® to Gardasil®9 during July and August 2022. This change will affect school-aged immunisation contracts, GP delivered opportunistic </w:t>
      </w:r>
      <w:proofErr w:type="gramStart"/>
      <w:r w:rsidRPr="006E5E51">
        <w:rPr>
          <w:rFonts w:cstheme="minorHAnsi"/>
          <w:color w:val="030303"/>
          <w:position w:val="17"/>
          <w:lang w:eastAsia="en-GB"/>
        </w:rPr>
        <w:t>catch up</w:t>
      </w:r>
      <w:proofErr w:type="gramEnd"/>
      <w:r w:rsidRPr="006E5E51">
        <w:rPr>
          <w:rFonts w:cstheme="minorHAnsi"/>
          <w:color w:val="030303"/>
          <w:position w:val="17"/>
          <w:lang w:eastAsia="en-GB"/>
        </w:rPr>
        <w:t xml:space="preserve"> services, and the MSM programme delivered in Sexual Health Clinics.</w:t>
      </w:r>
    </w:p>
    <w:p w14:paraId="255D3371" w14:textId="77777777" w:rsidR="006E5E51" w:rsidRPr="006E5E51" w:rsidRDefault="006E5E51" w:rsidP="006E5E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15" w:lineRule="atLeast"/>
        <w:textAlignment w:val="center"/>
        <w:rPr>
          <w:rFonts w:cstheme="minorHAnsi"/>
          <w:color w:val="030303"/>
          <w:position w:val="17"/>
          <w:lang w:eastAsia="en-GB"/>
        </w:rPr>
      </w:pPr>
      <w:r w:rsidRPr="006E5E51">
        <w:rPr>
          <w:rFonts w:cstheme="minorHAnsi"/>
          <w:color w:val="030303"/>
          <w:position w:val="17"/>
          <w:lang w:eastAsia="en-GB"/>
        </w:rPr>
        <w:t xml:space="preserve">The two vaccines are </w:t>
      </w:r>
      <w:proofErr w:type="gramStart"/>
      <w:r w:rsidRPr="006E5E51">
        <w:rPr>
          <w:rFonts w:cstheme="minorHAnsi"/>
          <w:color w:val="030303"/>
          <w:position w:val="17"/>
          <w:lang w:eastAsia="en-GB"/>
        </w:rPr>
        <w:t>interchangeable</w:t>
      </w:r>
      <w:proofErr w:type="gramEnd"/>
      <w:r w:rsidRPr="006E5E51">
        <w:rPr>
          <w:rFonts w:cstheme="minorHAnsi"/>
          <w:color w:val="030303"/>
          <w:position w:val="17"/>
          <w:lang w:eastAsia="en-GB"/>
        </w:rPr>
        <w:t xml:space="preserve"> and vaccination should not be delayed due to preference for either vaccine. There is no impact on the dose schedule currently in place.</w:t>
      </w:r>
    </w:p>
    <w:p w14:paraId="038B4AE9" w14:textId="77777777" w:rsidR="006E5E51" w:rsidRPr="006E5E51" w:rsidRDefault="006E5E51" w:rsidP="006E5E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p>
    <w:p w14:paraId="11C5881A" w14:textId="77777777" w:rsidR="006E5E51" w:rsidRPr="006E5E51" w:rsidRDefault="006E5E51" w:rsidP="006E5E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15" w:lineRule="atLeast"/>
        <w:textAlignment w:val="center"/>
        <w:rPr>
          <w:rFonts w:cstheme="minorHAnsi"/>
          <w:color w:val="030303"/>
          <w:position w:val="17"/>
          <w:lang w:eastAsia="en-GB"/>
        </w:rPr>
      </w:pPr>
      <w:r w:rsidRPr="006E5E51">
        <w:rPr>
          <w:rFonts w:cstheme="minorHAnsi"/>
          <w:color w:val="030303"/>
          <w:position w:val="17"/>
          <w:lang w:eastAsia="en-GB"/>
        </w:rPr>
        <w:t>Immunisers should ensure HPV vaccine is recorded by product/vaccine name (</w:t>
      </w:r>
      <w:proofErr w:type="gramStart"/>
      <w:r w:rsidRPr="006E5E51">
        <w:rPr>
          <w:rFonts w:cstheme="minorHAnsi"/>
          <w:color w:val="030303"/>
          <w:position w:val="17"/>
          <w:lang w:eastAsia="en-GB"/>
        </w:rPr>
        <w:t>i.e.</w:t>
      </w:r>
      <w:proofErr w:type="gramEnd"/>
      <w:r w:rsidRPr="006E5E51">
        <w:rPr>
          <w:rFonts w:cstheme="minorHAnsi"/>
          <w:color w:val="030303"/>
          <w:position w:val="17"/>
          <w:lang w:eastAsia="en-GB"/>
        </w:rPr>
        <w:t xml:space="preserve"> Gardasil® or Gardasil 9®) in their clinical IT systems to maintain the accurate reporting and recording of vaccines administered and support additional reporting requirements to align vaccination status with screening programmes, for example, for young females who become eligible for the NHS Cervical Screening programme.</w:t>
      </w:r>
    </w:p>
    <w:p w14:paraId="62031929" w14:textId="77777777" w:rsidR="006E5E51" w:rsidRPr="006E5E51" w:rsidRDefault="006E5E51" w:rsidP="006E5E51">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315" w:lineRule="atLeast"/>
        <w:textAlignment w:val="center"/>
        <w:rPr>
          <w:rFonts w:cstheme="minorHAnsi"/>
          <w:color w:val="030303"/>
          <w:position w:val="17"/>
          <w:lang w:eastAsia="en-GB"/>
        </w:rPr>
      </w:pPr>
      <w:hyperlink r:id="rId17" w:history="1">
        <w:r w:rsidRPr="006E5E51">
          <w:rPr>
            <w:rStyle w:val="Hyperlink"/>
            <w:rFonts w:cstheme="minorHAnsi"/>
            <w:color w:val="005EB8"/>
            <w:position w:val="17"/>
            <w:lang w:eastAsia="en-GB"/>
          </w:rPr>
          <w:t>The bipartite letter provides more information</w:t>
        </w:r>
      </w:hyperlink>
      <w:r w:rsidRPr="006E5E51">
        <w:rPr>
          <w:rFonts w:cstheme="minorHAnsi"/>
          <w:color w:val="030303"/>
          <w:position w:val="17"/>
          <w:lang w:eastAsia="en-GB"/>
        </w:rPr>
        <w:t xml:space="preserve"> and further details are available in the revised </w:t>
      </w:r>
      <w:hyperlink r:id="rId18" w:history="1">
        <w:r w:rsidRPr="006E5E51">
          <w:rPr>
            <w:rStyle w:val="Hyperlink"/>
            <w:rFonts w:cstheme="minorHAnsi"/>
            <w:color w:val="005EB8"/>
            <w:position w:val="17"/>
            <w:lang w:eastAsia="en-GB"/>
          </w:rPr>
          <w:t>Green Book chapter</w:t>
        </w:r>
      </w:hyperlink>
      <w:r w:rsidRPr="006E5E51">
        <w:rPr>
          <w:rFonts w:cstheme="minorHAnsi"/>
          <w:color w:val="030303"/>
          <w:position w:val="17"/>
          <w:lang w:eastAsia="en-GB"/>
        </w:rPr>
        <w:t xml:space="preserve">, </w:t>
      </w:r>
      <w:hyperlink r:id="rId19" w:history="1">
        <w:r w:rsidRPr="006E5E51">
          <w:rPr>
            <w:rStyle w:val="Hyperlink"/>
            <w:rFonts w:cstheme="minorHAnsi"/>
            <w:color w:val="005EB8"/>
            <w:position w:val="17"/>
            <w:lang w:eastAsia="en-GB"/>
          </w:rPr>
          <w:t>PGD template</w:t>
        </w:r>
      </w:hyperlink>
      <w:r w:rsidRPr="006E5E51">
        <w:rPr>
          <w:rFonts w:cstheme="minorHAnsi"/>
          <w:color w:val="030303"/>
          <w:position w:val="17"/>
          <w:lang w:eastAsia="en-GB"/>
        </w:rPr>
        <w:t xml:space="preserve">, and </w:t>
      </w:r>
      <w:hyperlink r:id="rId20" w:history="1">
        <w:r w:rsidRPr="006E5E51">
          <w:rPr>
            <w:rStyle w:val="Hyperlink"/>
            <w:rFonts w:cstheme="minorHAnsi"/>
            <w:color w:val="005EB8"/>
            <w:position w:val="17"/>
            <w:lang w:eastAsia="en-GB"/>
          </w:rPr>
          <w:t>materials for healthcare professionals</w:t>
        </w:r>
      </w:hyperlink>
      <w:r w:rsidRPr="006E5E51">
        <w:rPr>
          <w:rFonts w:cstheme="minorHAnsi"/>
          <w:color w:val="030303"/>
          <w:position w:val="17"/>
          <w:lang w:eastAsia="en-GB"/>
        </w:rPr>
        <w:t>.</w:t>
      </w:r>
    </w:p>
    <w:p w14:paraId="4B38FA30" w14:textId="77777777" w:rsidR="00442D06" w:rsidRDefault="00442D06" w:rsidP="003515F9">
      <w:pPr>
        <w:spacing w:before="240"/>
        <w:rPr>
          <w:rFonts w:cstheme="minorHAnsi"/>
          <w:b/>
          <w:bCs/>
          <w:color w:val="0000FF"/>
          <w:sz w:val="21"/>
          <w:szCs w:val="21"/>
          <w:lang w:eastAsia="en-GB"/>
        </w:rPr>
      </w:pPr>
    </w:p>
    <w:p w14:paraId="7D8EC0C5" w14:textId="122FF461" w:rsidR="00442D06" w:rsidRPr="00442D06" w:rsidRDefault="00442D06" w:rsidP="00442D0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color w:val="222222"/>
        </w:rPr>
      </w:pPr>
      <w:bookmarkStart w:id="4" w:name="NO5"/>
      <w:r>
        <w:rPr>
          <w:rStyle w:val="Strong"/>
          <w:rFonts w:cstheme="minorHAnsi"/>
          <w:color w:val="222222"/>
        </w:rPr>
        <w:t>5.</w:t>
      </w:r>
      <w:r w:rsidRPr="00442D06">
        <w:rPr>
          <w:rStyle w:val="Strong"/>
          <w:rFonts w:cstheme="minorHAnsi"/>
          <w:color w:val="222222"/>
        </w:rPr>
        <w:t>Chemistry lab issue at Sandwell</w:t>
      </w:r>
      <w:r w:rsidRPr="00442D06">
        <w:rPr>
          <w:rFonts w:cstheme="minorHAnsi"/>
          <w:color w:val="222222"/>
        </w:rPr>
        <w:br/>
      </w:r>
      <w:bookmarkEnd w:id="4"/>
      <w:r w:rsidRPr="00442D06">
        <w:rPr>
          <w:rFonts w:cstheme="minorHAnsi"/>
          <w:color w:val="222222"/>
        </w:rPr>
        <w:t>There are currently significant issues within the chemistry laboratory at Sandwell site with equipment, the refrigerated sample storage unit and IT. </w:t>
      </w:r>
      <w:r w:rsidRPr="00442D06">
        <w:rPr>
          <w:rFonts w:cstheme="minorHAnsi"/>
          <w:color w:val="222222"/>
        </w:rPr>
        <w:br/>
      </w:r>
      <w:r w:rsidRPr="00442D06">
        <w:rPr>
          <w:rFonts w:cstheme="minorHAnsi"/>
          <w:color w:val="222222"/>
        </w:rPr>
        <w:br/>
        <w:t>As a consequence, for samples received before 2 July, if you do not already have results then you will need to send a repeat sample. For samples received after 2 July, the results are likely to be delayed and results may come to you via the Wolverhampton lab link (the same one you currently receive microbiology reports via).</w:t>
      </w:r>
    </w:p>
    <w:p w14:paraId="68864338" w14:textId="77777777" w:rsidR="00442D06" w:rsidRDefault="00442D06" w:rsidP="00442D06">
      <w:pPr>
        <w:rPr>
          <w:rFonts w:ascii="Helvetica" w:hAnsi="Helvetica" w:cs="Helvetica"/>
          <w:color w:val="222222"/>
          <w:sz w:val="21"/>
          <w:szCs w:val="21"/>
        </w:rPr>
      </w:pPr>
    </w:p>
    <w:p w14:paraId="5422549E" w14:textId="77777777" w:rsidR="00F61A77" w:rsidRDefault="00F61A77" w:rsidP="003515F9">
      <w:pPr>
        <w:spacing w:before="240"/>
        <w:rPr>
          <w:rFonts w:cstheme="minorHAnsi"/>
          <w:b/>
          <w:bCs/>
          <w:color w:val="0000FF"/>
          <w:sz w:val="21"/>
          <w:szCs w:val="21"/>
          <w:lang w:eastAsia="en-GB"/>
        </w:rPr>
      </w:pPr>
    </w:p>
    <w:p w14:paraId="76687450" w14:textId="38FCFF42" w:rsidR="00F61A77" w:rsidRPr="002464BC" w:rsidRDefault="00D9011A" w:rsidP="002464BC">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22222"/>
          <w:lang w:eastAsia="en-GB"/>
        </w:rPr>
      </w:pPr>
      <w:bookmarkStart w:id="5" w:name="NO6"/>
      <w:r>
        <w:rPr>
          <w:rFonts w:cstheme="minorHAnsi"/>
          <w:b/>
          <w:bCs/>
          <w:color w:val="000000"/>
          <w:lang w:eastAsia="en-GB"/>
        </w:rPr>
        <w:t>6.</w:t>
      </w:r>
      <w:r w:rsidRPr="00D9011A">
        <w:rPr>
          <w:rFonts w:cstheme="minorHAnsi"/>
          <w:b/>
          <w:bCs/>
          <w:color w:val="000000"/>
          <w:lang w:eastAsia="en-GB"/>
        </w:rPr>
        <w:t>Birmingham Children's pathology lab</w:t>
      </w:r>
      <w:r w:rsidRPr="00D9011A">
        <w:rPr>
          <w:rFonts w:cstheme="minorHAnsi"/>
          <w:color w:val="222222"/>
          <w:lang w:eastAsia="en-GB"/>
        </w:rPr>
        <w:br/>
      </w:r>
      <w:bookmarkEnd w:id="5"/>
      <w:r w:rsidRPr="00D9011A">
        <w:rPr>
          <w:rFonts w:cstheme="minorHAnsi"/>
          <w:color w:val="222222"/>
          <w:lang w:eastAsia="en-GB"/>
        </w:rPr>
        <w:t xml:space="preserve">Colleagues are reminded of the new convenient online booking system which allows practices to pre-book time slots at Birmingham Children’s Hospital’s main outpatients department. The simple-to-use </w:t>
      </w:r>
      <w:proofErr w:type="spellStart"/>
      <w:r w:rsidRPr="00D9011A">
        <w:rPr>
          <w:rFonts w:cstheme="minorHAnsi"/>
          <w:color w:val="222222"/>
          <w:lang w:eastAsia="en-GB"/>
        </w:rPr>
        <w:t>DrDoctor</w:t>
      </w:r>
      <w:proofErr w:type="spellEnd"/>
      <w:r w:rsidRPr="00D9011A">
        <w:rPr>
          <w:rFonts w:cstheme="minorHAnsi"/>
          <w:color w:val="222222"/>
          <w:lang w:eastAsia="en-GB"/>
        </w:rPr>
        <w:t xml:space="preserve"> platform will allow the booking of appointments in advance during any available time slot between 10am and 3.45pm, Monday to Friday.</w:t>
      </w:r>
      <w:r w:rsidRPr="00D9011A">
        <w:rPr>
          <w:rFonts w:cstheme="minorHAnsi"/>
          <w:color w:val="222222"/>
          <w:lang w:eastAsia="en-GB"/>
        </w:rPr>
        <w:br/>
      </w:r>
      <w:r w:rsidRPr="00D9011A">
        <w:rPr>
          <w:rFonts w:cstheme="minorHAnsi"/>
          <w:color w:val="222222"/>
          <w:lang w:eastAsia="en-GB"/>
        </w:rPr>
        <w:br/>
        <w:t>To access the system people can either go directly to </w:t>
      </w:r>
      <w:hyperlink r:id="rId21" w:history="1">
        <w:r w:rsidRPr="00D9011A">
          <w:rPr>
            <w:rStyle w:val="Hyperlink"/>
            <w:rFonts w:cstheme="minorHAnsi"/>
            <w:color w:val="005EB8"/>
            <w:lang w:eastAsia="en-GB"/>
          </w:rPr>
          <w:t>https://my.drdoctor.co.uk/clinic/bloodtest</w:t>
        </w:r>
      </w:hyperlink>
      <w:r w:rsidRPr="00D9011A">
        <w:rPr>
          <w:rFonts w:cstheme="minorHAnsi"/>
          <w:color w:val="222222"/>
          <w:lang w:eastAsia="en-GB"/>
        </w:rPr>
        <w:t xml:space="preserve"> or, alternatively, via the Birmingham Women’s and Children’s NHS Foundation Trust </w:t>
      </w:r>
      <w:hyperlink r:id="rId22" w:history="1">
        <w:r w:rsidRPr="00D9011A">
          <w:rPr>
            <w:rStyle w:val="Hyperlink"/>
            <w:rFonts w:cstheme="minorHAnsi"/>
            <w:color w:val="005EB8"/>
            <w:lang w:eastAsia="en-GB"/>
          </w:rPr>
          <w:t>website</w:t>
        </w:r>
      </w:hyperlink>
      <w:r w:rsidRPr="00D9011A">
        <w:rPr>
          <w:rFonts w:cstheme="minorHAnsi"/>
          <w:color w:val="222222"/>
          <w:lang w:eastAsia="en-GB"/>
        </w:rPr>
        <w:t>. Users then simply select a date and time that suits and enter the details as prompted, including the patient’s NHS number. Should an appointment need to be cancelled, the Children’s Hospital Team can be contacted via 0121 333 9304.</w:t>
      </w:r>
    </w:p>
    <w:p w14:paraId="47D65CAD" w14:textId="77777777" w:rsidR="00F61A77" w:rsidRDefault="00F61A77" w:rsidP="003515F9">
      <w:pPr>
        <w:spacing w:before="240"/>
        <w:rPr>
          <w:rFonts w:cstheme="minorHAnsi"/>
          <w:b/>
          <w:bCs/>
          <w:color w:val="0000FF"/>
          <w:sz w:val="21"/>
          <w:szCs w:val="21"/>
          <w:lang w:eastAsia="en-GB"/>
        </w:rPr>
      </w:pPr>
    </w:p>
    <w:p w14:paraId="1A24C5F6" w14:textId="2D0FADA9" w:rsidR="001C1DE2" w:rsidRPr="001C1DE2" w:rsidRDefault="001C1DE2" w:rsidP="001C1DE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b/>
          <w:bCs/>
          <w:color w:val="030303"/>
          <w:position w:val="17"/>
          <w:lang w:eastAsia="en-GB"/>
        </w:rPr>
      </w:pPr>
      <w:bookmarkStart w:id="6" w:name="NO7"/>
      <w:r>
        <w:rPr>
          <w:rFonts w:cstheme="minorHAnsi"/>
          <w:b/>
          <w:bCs/>
          <w:color w:val="030303"/>
          <w:position w:val="17"/>
          <w:lang w:eastAsia="en-GB"/>
        </w:rPr>
        <w:t>7.</w:t>
      </w:r>
      <w:r w:rsidRPr="001C1DE2">
        <w:rPr>
          <w:rFonts w:cstheme="minorHAnsi"/>
          <w:b/>
          <w:bCs/>
          <w:color w:val="030303"/>
          <w:position w:val="17"/>
          <w:lang w:eastAsia="en-GB"/>
        </w:rPr>
        <w:t xml:space="preserve">Data Processing Deed assurances </w:t>
      </w:r>
    </w:p>
    <w:bookmarkEnd w:id="6"/>
    <w:p w14:paraId="0FCB30E8" w14:textId="77777777" w:rsidR="001C1DE2" w:rsidRPr="001C1DE2" w:rsidRDefault="001C1DE2" w:rsidP="001C1DE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1C1DE2">
        <w:rPr>
          <w:rFonts w:cstheme="minorHAnsi"/>
          <w:color w:val="030303"/>
          <w:position w:val="17"/>
          <w:lang w:eastAsia="en-GB"/>
        </w:rPr>
        <w:t xml:space="preserve">The processing of personal data outside of the UK, including through third-party sub-processors, is strictly prohibited through the Digital First Online Consultation and Video Consultation (DFOCVC) and GP IT Futures (GPITF) frameworks as under-written by the </w:t>
      </w:r>
      <w:hyperlink r:id="rId23" w:history="1">
        <w:r w:rsidRPr="001C1DE2">
          <w:rPr>
            <w:rStyle w:val="Hyperlink"/>
            <w:rFonts w:cstheme="minorHAnsi"/>
            <w:color w:val="005EB8"/>
            <w:position w:val="17"/>
            <w:lang w:eastAsia="en-GB"/>
          </w:rPr>
          <w:t>Data Processing Deed</w:t>
        </w:r>
      </w:hyperlink>
      <w:r w:rsidRPr="001C1DE2">
        <w:rPr>
          <w:rFonts w:cstheme="minorHAnsi"/>
          <w:color w:val="030303"/>
          <w:position w:val="17"/>
          <w:lang w:eastAsia="en-GB"/>
        </w:rPr>
        <w:t xml:space="preserve"> (DPD).</w:t>
      </w:r>
    </w:p>
    <w:p w14:paraId="011FF326" w14:textId="77777777" w:rsidR="001C1DE2" w:rsidRPr="001C1DE2" w:rsidRDefault="001C1DE2" w:rsidP="001C1DE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1C1DE2">
        <w:rPr>
          <w:rFonts w:cstheme="minorHAnsi"/>
          <w:color w:val="030303"/>
          <w:position w:val="17"/>
          <w:lang w:eastAsia="en-GB"/>
        </w:rPr>
        <w:t>Such processing is only allowed if a GP, as data controller, has provided specific consent, such as a written instruction. It is the responsibility of suppliers to demonstrate to GPs that they have complied with DPD and broader GDPR requirements.</w:t>
      </w:r>
    </w:p>
    <w:p w14:paraId="41BFBB7E" w14:textId="77777777" w:rsidR="001C1DE2" w:rsidRPr="001C1DE2" w:rsidRDefault="001C1DE2" w:rsidP="001C1DE2">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1C1DE2">
        <w:rPr>
          <w:rFonts w:cstheme="minorHAnsi"/>
          <w:color w:val="030303"/>
          <w:position w:val="17"/>
          <w:lang w:eastAsia="en-GB"/>
        </w:rPr>
        <w:t xml:space="preserve">NHS Digital is working with relevant parties to improve awareness and assurances. The ICO has also provided guidance on </w:t>
      </w:r>
      <w:hyperlink r:id="rId24" w:history="1">
        <w:r w:rsidRPr="001C1DE2">
          <w:rPr>
            <w:rStyle w:val="Hyperlink"/>
            <w:rFonts w:cstheme="minorHAnsi"/>
            <w:color w:val="005EB8"/>
            <w:position w:val="17"/>
            <w:lang w:eastAsia="en-GB"/>
          </w:rPr>
          <w:t>international data transfers</w:t>
        </w:r>
      </w:hyperlink>
      <w:r w:rsidRPr="001C1DE2">
        <w:rPr>
          <w:rFonts w:cstheme="minorHAnsi"/>
          <w:color w:val="030303"/>
          <w:position w:val="17"/>
          <w:lang w:eastAsia="en-GB"/>
        </w:rPr>
        <w:t xml:space="preserve"> and a helpful compliance checklist.</w:t>
      </w:r>
    </w:p>
    <w:p w14:paraId="4F96782F" w14:textId="77777777" w:rsidR="00D1350E" w:rsidRDefault="00D1350E" w:rsidP="003515F9">
      <w:pPr>
        <w:spacing w:before="240"/>
        <w:rPr>
          <w:rFonts w:cstheme="minorHAnsi"/>
          <w:b/>
          <w:bCs/>
          <w:color w:val="0000FF"/>
          <w:sz w:val="21"/>
          <w:szCs w:val="21"/>
          <w:lang w:eastAsia="en-GB"/>
        </w:rPr>
      </w:pPr>
    </w:p>
    <w:p w14:paraId="0DC218A2" w14:textId="17A70429" w:rsidR="00D1350E" w:rsidRPr="00D1350E" w:rsidRDefault="00D1350E" w:rsidP="00D1350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bookmarkStart w:id="7" w:name="NO8"/>
      <w:r>
        <w:rPr>
          <w:rFonts w:cstheme="minorHAnsi"/>
          <w:b/>
          <w:bCs/>
          <w:color w:val="030303"/>
          <w:position w:val="17"/>
          <w:lang w:eastAsia="en-GB"/>
        </w:rPr>
        <w:t>8.</w:t>
      </w:r>
      <w:r w:rsidRPr="00D1350E">
        <w:rPr>
          <w:rFonts w:cstheme="minorHAnsi"/>
          <w:b/>
          <w:bCs/>
          <w:color w:val="030303"/>
          <w:position w:val="17"/>
          <w:lang w:eastAsia="en-GB"/>
        </w:rPr>
        <w:t>Roll out of new digital firearms marker for GP practices</w:t>
      </w:r>
    </w:p>
    <w:bookmarkEnd w:id="7"/>
    <w:p w14:paraId="6A37BF96" w14:textId="77777777" w:rsidR="00D1350E" w:rsidRPr="00D1350E" w:rsidRDefault="00D1350E" w:rsidP="00D1350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D1350E">
        <w:rPr>
          <w:rFonts w:cstheme="minorHAnsi"/>
          <w:color w:val="030303"/>
          <w:position w:val="17"/>
          <w:lang w:eastAsia="en-GB"/>
        </w:rPr>
        <w:t>To make firearms licensing safer and the system quicker for practices, NHS Digital is introducing a standardised digital firearms marker in England. This marker matches relevant medical conditions against a firearms code, triggering an automatic flag to the doctor.</w:t>
      </w:r>
    </w:p>
    <w:p w14:paraId="77BDDB4B" w14:textId="77777777" w:rsidR="00D1350E" w:rsidRPr="00D1350E" w:rsidRDefault="00D1350E" w:rsidP="00D1350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line="315" w:lineRule="atLeast"/>
        <w:textAlignment w:val="center"/>
        <w:rPr>
          <w:rFonts w:cstheme="minorHAnsi"/>
          <w:color w:val="030303"/>
          <w:position w:val="17"/>
          <w:lang w:eastAsia="en-GB"/>
        </w:rPr>
      </w:pPr>
      <w:r w:rsidRPr="00D1350E">
        <w:rPr>
          <w:rFonts w:cstheme="minorHAnsi"/>
          <w:color w:val="030303"/>
          <w:position w:val="17"/>
          <w:lang w:eastAsia="en-GB"/>
        </w:rPr>
        <w:t>The marker will start to be rolled out by different GP IT suppliers from July 2022 when it will be available to apply to a patient EPR. It cannot be used retrospectively on those patients who already have previous firearms licences/flags.</w:t>
      </w:r>
    </w:p>
    <w:p w14:paraId="0481777A" w14:textId="7275BD81" w:rsidR="00F61A77" w:rsidRPr="00D1350E" w:rsidRDefault="00D1350E" w:rsidP="00D1350E">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before="300" w:after="300" w:line="315" w:lineRule="atLeast"/>
        <w:textAlignment w:val="center"/>
        <w:rPr>
          <w:rFonts w:cstheme="minorHAnsi"/>
          <w:color w:val="030303"/>
          <w:position w:val="17"/>
          <w:lang w:eastAsia="en-GB"/>
        </w:rPr>
      </w:pPr>
      <w:r w:rsidRPr="00D1350E">
        <w:rPr>
          <w:rFonts w:cstheme="minorHAnsi"/>
          <w:color w:val="030303"/>
          <w:position w:val="17"/>
          <w:lang w:eastAsia="en-GB"/>
        </w:rPr>
        <w:t>IT suppliers will be issuing communications and advice on using the marker system to support the rollout.</w:t>
      </w:r>
    </w:p>
    <w:p w14:paraId="0B9386CB" w14:textId="77777777" w:rsidR="003D3A4B" w:rsidRDefault="003D3A4B" w:rsidP="003D3A4B">
      <w:pPr>
        <w:rPr>
          <w:rFonts w:cstheme="minorHAnsi"/>
          <w:b/>
          <w:bCs/>
        </w:rPr>
      </w:pPr>
    </w:p>
    <w:p w14:paraId="4BC04006" w14:textId="14F3319F" w:rsidR="003D3A4B" w:rsidRPr="003D3A4B" w:rsidRDefault="003D3A4B" w:rsidP="003D3A4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bookmarkStart w:id="8" w:name="NO9"/>
      <w:r>
        <w:rPr>
          <w:rFonts w:cstheme="minorHAnsi"/>
          <w:b/>
          <w:bCs/>
        </w:rPr>
        <w:t>9.</w:t>
      </w:r>
      <w:r w:rsidRPr="003D3A4B">
        <w:rPr>
          <w:rFonts w:cstheme="minorHAnsi"/>
          <w:b/>
          <w:bCs/>
        </w:rPr>
        <w:t>Firearms marker</w:t>
      </w:r>
    </w:p>
    <w:bookmarkEnd w:id="8"/>
    <w:p w14:paraId="2964FE72" w14:textId="77777777" w:rsidR="003D3A4B" w:rsidRPr="003D3A4B" w:rsidRDefault="003D3A4B" w:rsidP="003D3A4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p>
    <w:p w14:paraId="22823435" w14:textId="77777777" w:rsidR="003D3A4B" w:rsidRPr="003D3A4B" w:rsidRDefault="003D3A4B" w:rsidP="003D3A4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3D3A4B">
        <w:rPr>
          <w:rFonts w:cstheme="minorHAnsi"/>
        </w:rPr>
        <w:t xml:space="preserve">As of today, 6 July 2022, a new firearms marker has been introduced, aimed at providing alerts to GPs during both the application process and the lifecycle of the issued licence. This will integrate with EMIS and system one systems (Vision to follow) to prospectively flag patient coded as holding a firearms licence. </w:t>
      </w:r>
    </w:p>
    <w:p w14:paraId="78199218" w14:textId="77777777" w:rsidR="003D3A4B" w:rsidRPr="003D3A4B" w:rsidRDefault="003D3A4B" w:rsidP="003D3A4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3D3A4B">
        <w:rPr>
          <w:rFonts w:cstheme="minorHAnsi"/>
        </w:rPr>
        <w:t> </w:t>
      </w:r>
    </w:p>
    <w:p w14:paraId="08068F72" w14:textId="77777777" w:rsidR="003D3A4B" w:rsidRPr="003D3A4B" w:rsidRDefault="003D3A4B" w:rsidP="003D3A4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3D3A4B">
        <w:rPr>
          <w:rFonts w:cstheme="minorHAnsi"/>
        </w:rPr>
        <w:t xml:space="preserve">The BMA has had significant involvement in the development of the </w:t>
      </w:r>
      <w:hyperlink r:id="rId25" w:history="1">
        <w:r w:rsidRPr="003D3A4B">
          <w:rPr>
            <w:rStyle w:val="Hyperlink"/>
            <w:rFonts w:cstheme="minorHAnsi"/>
          </w:rPr>
          <w:t>Home Office guidance on firearms licensing</w:t>
        </w:r>
      </w:hyperlink>
      <w:r w:rsidRPr="003D3A4B">
        <w:rPr>
          <w:rFonts w:cstheme="minorHAnsi"/>
        </w:rPr>
        <w:t xml:space="preserve"> and we have been pushing for an active flagging system within patients’ records that is robust, clear and standardised across the country, and the new digital marker is a positive step in the right direction of improving the contribution GPs make to the licensing process.</w:t>
      </w:r>
    </w:p>
    <w:p w14:paraId="7EB9AB1A" w14:textId="77777777" w:rsidR="003D3A4B" w:rsidRPr="003D3A4B" w:rsidRDefault="003D3A4B" w:rsidP="003D3A4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3D3A4B">
        <w:rPr>
          <w:rFonts w:cstheme="minorHAnsi"/>
        </w:rPr>
        <w:t> </w:t>
      </w:r>
    </w:p>
    <w:p w14:paraId="33E60878" w14:textId="77777777" w:rsidR="003D3A4B" w:rsidRPr="003D3A4B" w:rsidRDefault="003D3A4B" w:rsidP="003D3A4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3D3A4B">
        <w:rPr>
          <w:rFonts w:cstheme="minorHAnsi"/>
        </w:rPr>
        <w:t>We strongly support the Government’s overall message, that gun ownership is a privilege and not a right, and that firearms must be in the hands of only those who are deemed safe and responsible.</w:t>
      </w:r>
    </w:p>
    <w:p w14:paraId="1ADFBF89" w14:textId="77777777" w:rsidR="003D3A4B" w:rsidRPr="003D3A4B" w:rsidRDefault="003D3A4B" w:rsidP="003D3A4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3D3A4B">
        <w:rPr>
          <w:rFonts w:cstheme="minorHAnsi"/>
        </w:rPr>
        <w:t> </w:t>
      </w:r>
    </w:p>
    <w:p w14:paraId="14C39961" w14:textId="77777777" w:rsidR="003D3A4B" w:rsidRPr="003D3A4B" w:rsidRDefault="003D3A4B" w:rsidP="003D3A4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3D3A4B">
        <w:rPr>
          <w:rFonts w:cstheme="minorHAnsi"/>
        </w:rPr>
        <w:t>However, the public should be under no illusion that this will be an overnight solution. This new scheme will apply only to new applicants or people renewing their licences, so it will take up to five years before all licensed gun owners are included within this framework. The introduction of the marker must not imply that the buck for public safety stops with the GP; as the police have acknowledged, they themselves are ultimately responsible for firearms licensing.</w:t>
      </w:r>
    </w:p>
    <w:p w14:paraId="2EDFD0F7" w14:textId="77777777" w:rsidR="003D3A4B" w:rsidRPr="003D3A4B" w:rsidRDefault="003D3A4B" w:rsidP="003D3A4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3D3A4B">
        <w:rPr>
          <w:rFonts w:cstheme="minorHAnsi"/>
        </w:rPr>
        <w:t> </w:t>
      </w:r>
    </w:p>
    <w:p w14:paraId="5B606C72" w14:textId="77777777" w:rsidR="003D3A4B" w:rsidRPr="003D3A4B" w:rsidRDefault="003D3A4B" w:rsidP="003D3A4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3D3A4B">
        <w:rPr>
          <w:rFonts w:cstheme="minorHAnsi"/>
        </w:rPr>
        <w:t>As this new marker is rolled out, we encourage GPs to build on existing relationships with local forces to help further protect public safety.</w:t>
      </w:r>
    </w:p>
    <w:p w14:paraId="1D2D2DA7" w14:textId="77777777" w:rsidR="003D3A4B" w:rsidRPr="003D3A4B" w:rsidRDefault="003D3A4B" w:rsidP="003D3A4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3D3A4B">
        <w:rPr>
          <w:rFonts w:cstheme="minorHAnsi"/>
        </w:rPr>
        <w:t> </w:t>
      </w:r>
    </w:p>
    <w:p w14:paraId="693D2A25" w14:textId="77777777" w:rsidR="003D3A4B" w:rsidRPr="003D3A4B" w:rsidRDefault="003D3A4B" w:rsidP="003D3A4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3D3A4B">
        <w:rPr>
          <w:rFonts w:cstheme="minorHAnsi"/>
        </w:rPr>
        <w:t>The GPC would like to thank Dr Peter Holden, Chair of the BMA’s Professional Fees Committee, for his hard work and ongoing commitment to this issue.</w:t>
      </w:r>
    </w:p>
    <w:p w14:paraId="6A86BC68" w14:textId="77777777" w:rsidR="003D3A4B" w:rsidRPr="003D3A4B" w:rsidRDefault="003D3A4B" w:rsidP="003D3A4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3D3A4B">
        <w:rPr>
          <w:rFonts w:cstheme="minorHAnsi"/>
        </w:rPr>
        <w:t> </w:t>
      </w:r>
    </w:p>
    <w:p w14:paraId="4DF6E25C" w14:textId="77777777" w:rsidR="003D3A4B" w:rsidRPr="003D3A4B" w:rsidRDefault="003D3A4B" w:rsidP="003D3A4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3D3A4B">
        <w:rPr>
          <w:rFonts w:cstheme="minorHAnsi"/>
        </w:rPr>
        <w:lastRenderedPageBreak/>
        <w:t xml:space="preserve">Read our guidance about the </w:t>
      </w:r>
      <w:hyperlink r:id="rId26" w:history="1">
        <w:r w:rsidRPr="003D3A4B">
          <w:rPr>
            <w:rStyle w:val="Hyperlink"/>
            <w:rFonts w:cstheme="minorHAnsi"/>
          </w:rPr>
          <w:t>firearms licensing process</w:t>
        </w:r>
      </w:hyperlink>
    </w:p>
    <w:p w14:paraId="1356B193" w14:textId="77777777" w:rsidR="003D3A4B" w:rsidRPr="003D3A4B" w:rsidRDefault="003D3A4B" w:rsidP="003D3A4B">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3D3A4B">
        <w:rPr>
          <w:rFonts w:cstheme="minorHAnsi"/>
        </w:rPr>
        <w:t> </w:t>
      </w:r>
    </w:p>
    <w:p w14:paraId="33408BF9" w14:textId="6ADB35B9" w:rsidR="00F61A77" w:rsidRPr="00935CE8" w:rsidRDefault="003D3A4B" w:rsidP="00935CE8">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rPr>
          <w:rFonts w:cstheme="minorHAnsi"/>
        </w:rPr>
      </w:pPr>
      <w:r w:rsidRPr="003D3A4B">
        <w:rPr>
          <w:rFonts w:cstheme="minorHAnsi"/>
        </w:rPr>
        <w:t xml:space="preserve">Read the full BMA </w:t>
      </w:r>
      <w:hyperlink r:id="rId27" w:history="1">
        <w:r w:rsidRPr="003D3A4B">
          <w:rPr>
            <w:rStyle w:val="Hyperlink"/>
            <w:rFonts w:cstheme="minorHAnsi"/>
          </w:rPr>
          <w:t>statement</w:t>
        </w:r>
      </w:hyperlink>
    </w:p>
    <w:p w14:paraId="03D1A8B7" w14:textId="77777777" w:rsidR="00F61A77" w:rsidRDefault="00F61A77" w:rsidP="003515F9">
      <w:pPr>
        <w:spacing w:before="240"/>
        <w:rPr>
          <w:rFonts w:cstheme="minorHAnsi"/>
          <w:b/>
          <w:bCs/>
          <w:color w:val="0000FF"/>
          <w:sz w:val="21"/>
          <w:szCs w:val="21"/>
          <w:lang w:eastAsia="en-GB"/>
        </w:rPr>
      </w:pPr>
    </w:p>
    <w:p w14:paraId="0B71714B" w14:textId="77777777" w:rsidR="00F61A77" w:rsidRPr="003515F9" w:rsidRDefault="00F61A77" w:rsidP="003515F9">
      <w:pPr>
        <w:spacing w:before="240"/>
        <w:rPr>
          <w:rFonts w:cstheme="minorHAnsi"/>
          <w:b/>
          <w:bCs/>
          <w:color w:val="0000FF"/>
          <w:sz w:val="21"/>
          <w:szCs w:val="21"/>
          <w:lang w:eastAsia="en-GB"/>
        </w:rPr>
      </w:pPr>
    </w:p>
    <w:p w14:paraId="1C3E9CCE" w14:textId="21E82AF4"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28"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29124C40" w14:textId="77777777" w:rsidR="007241A2" w:rsidRDefault="007241A2"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A01795A" w14:textId="77777777" w:rsidR="007241A2" w:rsidRDefault="007241A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095AC69E"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29"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30"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31"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007360">
      <w:headerReference w:type="default" r:id="rId32"/>
      <w:footerReference w:type="default" r:id="rId33"/>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AD7F4" w14:textId="77777777" w:rsidR="00072D34" w:rsidRDefault="00072D34" w:rsidP="001B4E81">
      <w:pPr>
        <w:spacing w:after="0" w:line="240" w:lineRule="auto"/>
      </w:pPr>
      <w:r>
        <w:separator/>
      </w:r>
    </w:p>
  </w:endnote>
  <w:endnote w:type="continuationSeparator" w:id="0">
    <w:p w14:paraId="6E459263" w14:textId="77777777" w:rsidR="00072D34" w:rsidRDefault="00072D34"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6EE8C" w14:textId="77777777" w:rsidR="00072D34" w:rsidRDefault="00072D34" w:rsidP="001B4E81">
      <w:pPr>
        <w:spacing w:after="0" w:line="240" w:lineRule="auto"/>
      </w:pPr>
      <w:r>
        <w:separator/>
      </w:r>
    </w:p>
  </w:footnote>
  <w:footnote w:type="continuationSeparator" w:id="0">
    <w:p w14:paraId="17622759" w14:textId="77777777" w:rsidR="00072D34" w:rsidRDefault="00072D34"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1CF3"/>
    <w:multiLevelType w:val="hybridMultilevel"/>
    <w:tmpl w:val="812029F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3E687B"/>
    <w:multiLevelType w:val="multilevel"/>
    <w:tmpl w:val="12F80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C95801"/>
    <w:multiLevelType w:val="hybridMultilevel"/>
    <w:tmpl w:val="666EEAAA"/>
    <w:lvl w:ilvl="0" w:tplc="B630F4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F70C50"/>
    <w:multiLevelType w:val="hybridMultilevel"/>
    <w:tmpl w:val="0C601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5044FB3"/>
    <w:multiLevelType w:val="hybridMultilevel"/>
    <w:tmpl w:val="B5A89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FF247F"/>
    <w:multiLevelType w:val="hybridMultilevel"/>
    <w:tmpl w:val="AF7A6C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E47A36"/>
    <w:multiLevelType w:val="hybridMultilevel"/>
    <w:tmpl w:val="C4DE1D9C"/>
    <w:lvl w:ilvl="0" w:tplc="D8F27E10">
      <w:start w:val="1"/>
      <w:numFmt w:val="decimal"/>
      <w:lvlText w:val="%1."/>
      <w:lvlJc w:val="left"/>
      <w:pPr>
        <w:ind w:left="1080" w:hanging="72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825C88"/>
    <w:multiLevelType w:val="hybridMultilevel"/>
    <w:tmpl w:val="31840B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E653FB"/>
    <w:multiLevelType w:val="hybridMultilevel"/>
    <w:tmpl w:val="EE1E9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49F2DCB"/>
    <w:multiLevelType w:val="hybridMultilevel"/>
    <w:tmpl w:val="261A4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FF2071"/>
    <w:multiLevelType w:val="hybridMultilevel"/>
    <w:tmpl w:val="6A26AC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057318"/>
    <w:multiLevelType w:val="hybridMultilevel"/>
    <w:tmpl w:val="80A009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E72229"/>
    <w:multiLevelType w:val="multilevel"/>
    <w:tmpl w:val="4D40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851271"/>
    <w:multiLevelType w:val="hybridMultilevel"/>
    <w:tmpl w:val="4E1C0F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ECB2428"/>
    <w:multiLevelType w:val="hybridMultilevel"/>
    <w:tmpl w:val="B7FCB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03672E"/>
    <w:multiLevelType w:val="hybridMultilevel"/>
    <w:tmpl w:val="F7B6BB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514491">
    <w:abstractNumId w:val="10"/>
  </w:num>
  <w:num w:numId="2" w16cid:durableId="2045934090">
    <w:abstractNumId w:val="4"/>
  </w:num>
  <w:num w:numId="3" w16cid:durableId="720203329">
    <w:abstractNumId w:val="14"/>
  </w:num>
  <w:num w:numId="4" w16cid:durableId="1154296620">
    <w:abstractNumId w:val="5"/>
  </w:num>
  <w:num w:numId="5" w16cid:durableId="674842477">
    <w:abstractNumId w:val="11"/>
  </w:num>
  <w:num w:numId="6" w16cid:durableId="1654676099">
    <w:abstractNumId w:val="0"/>
  </w:num>
  <w:num w:numId="7" w16cid:durableId="380177225">
    <w:abstractNumId w:val="8"/>
  </w:num>
  <w:num w:numId="8" w16cid:durableId="1790659448">
    <w:abstractNumId w:val="13"/>
  </w:num>
  <w:num w:numId="9" w16cid:durableId="2023360628">
    <w:abstractNumId w:val="6"/>
  </w:num>
  <w:num w:numId="10" w16cid:durableId="945383897">
    <w:abstractNumId w:val="15"/>
  </w:num>
  <w:num w:numId="11" w16cid:durableId="1066486991">
    <w:abstractNumId w:val="12"/>
  </w:num>
  <w:num w:numId="12" w16cid:durableId="537666982">
    <w:abstractNumId w:val="7"/>
  </w:num>
  <w:num w:numId="13" w16cid:durableId="1328553811">
    <w:abstractNumId w:val="2"/>
  </w:num>
  <w:num w:numId="14" w16cid:durableId="465241123">
    <w:abstractNumId w:val="3"/>
  </w:num>
  <w:num w:numId="15" w16cid:durableId="4210165">
    <w:abstractNumId w:val="1"/>
    <w:lvlOverride w:ilvl="0"/>
    <w:lvlOverride w:ilvl="1"/>
    <w:lvlOverride w:ilvl="2"/>
    <w:lvlOverride w:ilvl="3"/>
    <w:lvlOverride w:ilvl="4"/>
    <w:lvlOverride w:ilvl="5"/>
    <w:lvlOverride w:ilvl="6"/>
    <w:lvlOverride w:ilvl="7"/>
    <w:lvlOverride w:ilvl="8"/>
  </w:num>
  <w:num w:numId="16" w16cid:durableId="4014129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07360"/>
    <w:rsid w:val="00010C70"/>
    <w:rsid w:val="0004055C"/>
    <w:rsid w:val="000525F3"/>
    <w:rsid w:val="00071C2D"/>
    <w:rsid w:val="00072D34"/>
    <w:rsid w:val="00075F17"/>
    <w:rsid w:val="00081413"/>
    <w:rsid w:val="000C2FD6"/>
    <w:rsid w:val="000F0353"/>
    <w:rsid w:val="00115AFB"/>
    <w:rsid w:val="0012701E"/>
    <w:rsid w:val="00133C16"/>
    <w:rsid w:val="00151790"/>
    <w:rsid w:val="00170C2F"/>
    <w:rsid w:val="00174174"/>
    <w:rsid w:val="00177EAB"/>
    <w:rsid w:val="001A5DEE"/>
    <w:rsid w:val="001B4E81"/>
    <w:rsid w:val="001C1DE2"/>
    <w:rsid w:val="001F50DA"/>
    <w:rsid w:val="002313DF"/>
    <w:rsid w:val="00232556"/>
    <w:rsid w:val="002464BC"/>
    <w:rsid w:val="00247C64"/>
    <w:rsid w:val="0025093F"/>
    <w:rsid w:val="00257079"/>
    <w:rsid w:val="00267854"/>
    <w:rsid w:val="0027009C"/>
    <w:rsid w:val="0029684B"/>
    <w:rsid w:val="002A60D8"/>
    <w:rsid w:val="003165E8"/>
    <w:rsid w:val="00322467"/>
    <w:rsid w:val="00327F6D"/>
    <w:rsid w:val="003307E4"/>
    <w:rsid w:val="00334058"/>
    <w:rsid w:val="0034616B"/>
    <w:rsid w:val="003515F9"/>
    <w:rsid w:val="00362320"/>
    <w:rsid w:val="003731E2"/>
    <w:rsid w:val="00380792"/>
    <w:rsid w:val="003A2046"/>
    <w:rsid w:val="003D21EB"/>
    <w:rsid w:val="003D3A4B"/>
    <w:rsid w:val="003E4A49"/>
    <w:rsid w:val="003E6828"/>
    <w:rsid w:val="003F5E55"/>
    <w:rsid w:val="0042361F"/>
    <w:rsid w:val="00424321"/>
    <w:rsid w:val="00442D06"/>
    <w:rsid w:val="00471CFB"/>
    <w:rsid w:val="00490162"/>
    <w:rsid w:val="004B5D50"/>
    <w:rsid w:val="004B6C2E"/>
    <w:rsid w:val="004B6E4C"/>
    <w:rsid w:val="004F7065"/>
    <w:rsid w:val="004F7CC6"/>
    <w:rsid w:val="00502055"/>
    <w:rsid w:val="005201FA"/>
    <w:rsid w:val="005234FE"/>
    <w:rsid w:val="005236D8"/>
    <w:rsid w:val="00552CC1"/>
    <w:rsid w:val="00552E3F"/>
    <w:rsid w:val="005E0602"/>
    <w:rsid w:val="005F5155"/>
    <w:rsid w:val="00654AA4"/>
    <w:rsid w:val="00692230"/>
    <w:rsid w:val="00692BEF"/>
    <w:rsid w:val="00695059"/>
    <w:rsid w:val="00697DEE"/>
    <w:rsid w:val="006C4FD6"/>
    <w:rsid w:val="006D030D"/>
    <w:rsid w:val="006D0B43"/>
    <w:rsid w:val="006D4E3F"/>
    <w:rsid w:val="006E5E51"/>
    <w:rsid w:val="006F1C6F"/>
    <w:rsid w:val="007049EA"/>
    <w:rsid w:val="007241A2"/>
    <w:rsid w:val="00750CCA"/>
    <w:rsid w:val="0078159D"/>
    <w:rsid w:val="007F5F4E"/>
    <w:rsid w:val="008009C2"/>
    <w:rsid w:val="00816E1F"/>
    <w:rsid w:val="00840E4C"/>
    <w:rsid w:val="00861B5E"/>
    <w:rsid w:val="0086562F"/>
    <w:rsid w:val="00875A27"/>
    <w:rsid w:val="008855B8"/>
    <w:rsid w:val="008A3E29"/>
    <w:rsid w:val="008A5BBD"/>
    <w:rsid w:val="008C56EA"/>
    <w:rsid w:val="008E369B"/>
    <w:rsid w:val="008E62A0"/>
    <w:rsid w:val="008F2EC4"/>
    <w:rsid w:val="00906A69"/>
    <w:rsid w:val="009309D6"/>
    <w:rsid w:val="00933287"/>
    <w:rsid w:val="00935CE8"/>
    <w:rsid w:val="00943475"/>
    <w:rsid w:val="0097290E"/>
    <w:rsid w:val="0098382C"/>
    <w:rsid w:val="0098389F"/>
    <w:rsid w:val="009A56F1"/>
    <w:rsid w:val="009B57E2"/>
    <w:rsid w:val="009B7F26"/>
    <w:rsid w:val="009C67A9"/>
    <w:rsid w:val="009E4658"/>
    <w:rsid w:val="00A40329"/>
    <w:rsid w:val="00A552F2"/>
    <w:rsid w:val="00A7150C"/>
    <w:rsid w:val="00A868B6"/>
    <w:rsid w:val="00A86E49"/>
    <w:rsid w:val="00A96BB0"/>
    <w:rsid w:val="00AD0E2F"/>
    <w:rsid w:val="00AD7D20"/>
    <w:rsid w:val="00B30428"/>
    <w:rsid w:val="00B35C57"/>
    <w:rsid w:val="00B5660B"/>
    <w:rsid w:val="00B70ADD"/>
    <w:rsid w:val="00B81C54"/>
    <w:rsid w:val="00B9175B"/>
    <w:rsid w:val="00B9520F"/>
    <w:rsid w:val="00BA329A"/>
    <w:rsid w:val="00BA4459"/>
    <w:rsid w:val="00BC4341"/>
    <w:rsid w:val="00C01174"/>
    <w:rsid w:val="00C4008D"/>
    <w:rsid w:val="00C4124A"/>
    <w:rsid w:val="00C77C64"/>
    <w:rsid w:val="00C902BD"/>
    <w:rsid w:val="00CD28AF"/>
    <w:rsid w:val="00CE5DB2"/>
    <w:rsid w:val="00CF1A58"/>
    <w:rsid w:val="00CF6C14"/>
    <w:rsid w:val="00D1350E"/>
    <w:rsid w:val="00D14BAB"/>
    <w:rsid w:val="00D72E12"/>
    <w:rsid w:val="00D83F9B"/>
    <w:rsid w:val="00D9011A"/>
    <w:rsid w:val="00DB088B"/>
    <w:rsid w:val="00DB196B"/>
    <w:rsid w:val="00DF0C23"/>
    <w:rsid w:val="00DF3536"/>
    <w:rsid w:val="00E14B44"/>
    <w:rsid w:val="00E27473"/>
    <w:rsid w:val="00E40AC3"/>
    <w:rsid w:val="00EA646C"/>
    <w:rsid w:val="00EC12C2"/>
    <w:rsid w:val="00EE6841"/>
    <w:rsid w:val="00F105F0"/>
    <w:rsid w:val="00F20872"/>
    <w:rsid w:val="00F26A19"/>
    <w:rsid w:val="00F36879"/>
    <w:rsid w:val="00F45B98"/>
    <w:rsid w:val="00F61A77"/>
    <w:rsid w:val="00FB3717"/>
    <w:rsid w:val="00FB71E9"/>
    <w:rsid w:val="00FC08E9"/>
    <w:rsid w:val="00FD2F1F"/>
    <w:rsid w:val="00FE11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597B354"/>
  <w15:chartTrackingRefBased/>
  <w15:docId w15:val="{41287DAD-1B66-4E38-8947-F2D66671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uiPriority w:val="99"/>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 w:type="paragraph" w:styleId="NormalWeb">
    <w:name w:val="Normal (Web)"/>
    <w:basedOn w:val="Normal"/>
    <w:uiPriority w:val="99"/>
    <w:semiHidden/>
    <w:unhideWhenUsed/>
    <w:rsid w:val="00943475"/>
    <w:pPr>
      <w:spacing w:before="100" w:beforeAutospacing="1" w:after="100" w:afterAutospacing="1" w:line="240" w:lineRule="auto"/>
    </w:pPr>
    <w:rPr>
      <w:rFonts w:ascii="Calibri" w:hAnsi="Calibri" w:cs="Calibri"/>
      <w:lang w:eastAsia="en-GB"/>
    </w:rPr>
  </w:style>
  <w:style w:type="character" w:customStyle="1" w:styleId="apple-converted-space">
    <w:name w:val="apple-converted-space"/>
    <w:basedOn w:val="DefaultParagraphFont"/>
    <w:rsid w:val="00CE5D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7643">
      <w:bodyDiv w:val="1"/>
      <w:marLeft w:val="0"/>
      <w:marRight w:val="0"/>
      <w:marTop w:val="0"/>
      <w:marBottom w:val="0"/>
      <w:divBdr>
        <w:top w:val="none" w:sz="0" w:space="0" w:color="auto"/>
        <w:left w:val="none" w:sz="0" w:space="0" w:color="auto"/>
        <w:bottom w:val="none" w:sz="0" w:space="0" w:color="auto"/>
        <w:right w:val="none" w:sz="0" w:space="0" w:color="auto"/>
      </w:divBdr>
    </w:div>
    <w:div w:id="72431382">
      <w:bodyDiv w:val="1"/>
      <w:marLeft w:val="0"/>
      <w:marRight w:val="0"/>
      <w:marTop w:val="0"/>
      <w:marBottom w:val="0"/>
      <w:divBdr>
        <w:top w:val="none" w:sz="0" w:space="0" w:color="auto"/>
        <w:left w:val="none" w:sz="0" w:space="0" w:color="auto"/>
        <w:bottom w:val="none" w:sz="0" w:space="0" w:color="auto"/>
        <w:right w:val="none" w:sz="0" w:space="0" w:color="auto"/>
      </w:divBdr>
    </w:div>
    <w:div w:id="89855172">
      <w:bodyDiv w:val="1"/>
      <w:marLeft w:val="0"/>
      <w:marRight w:val="0"/>
      <w:marTop w:val="0"/>
      <w:marBottom w:val="0"/>
      <w:divBdr>
        <w:top w:val="none" w:sz="0" w:space="0" w:color="auto"/>
        <w:left w:val="none" w:sz="0" w:space="0" w:color="auto"/>
        <w:bottom w:val="none" w:sz="0" w:space="0" w:color="auto"/>
        <w:right w:val="none" w:sz="0" w:space="0" w:color="auto"/>
      </w:divBdr>
    </w:div>
    <w:div w:id="167521560">
      <w:bodyDiv w:val="1"/>
      <w:marLeft w:val="0"/>
      <w:marRight w:val="0"/>
      <w:marTop w:val="0"/>
      <w:marBottom w:val="0"/>
      <w:divBdr>
        <w:top w:val="none" w:sz="0" w:space="0" w:color="auto"/>
        <w:left w:val="none" w:sz="0" w:space="0" w:color="auto"/>
        <w:bottom w:val="none" w:sz="0" w:space="0" w:color="auto"/>
        <w:right w:val="none" w:sz="0" w:space="0" w:color="auto"/>
      </w:divBdr>
    </w:div>
    <w:div w:id="432555847">
      <w:bodyDiv w:val="1"/>
      <w:marLeft w:val="0"/>
      <w:marRight w:val="0"/>
      <w:marTop w:val="0"/>
      <w:marBottom w:val="0"/>
      <w:divBdr>
        <w:top w:val="none" w:sz="0" w:space="0" w:color="auto"/>
        <w:left w:val="none" w:sz="0" w:space="0" w:color="auto"/>
        <w:bottom w:val="none" w:sz="0" w:space="0" w:color="auto"/>
        <w:right w:val="none" w:sz="0" w:space="0" w:color="auto"/>
      </w:divBdr>
    </w:div>
    <w:div w:id="477303001">
      <w:bodyDiv w:val="1"/>
      <w:marLeft w:val="0"/>
      <w:marRight w:val="0"/>
      <w:marTop w:val="0"/>
      <w:marBottom w:val="0"/>
      <w:divBdr>
        <w:top w:val="none" w:sz="0" w:space="0" w:color="auto"/>
        <w:left w:val="none" w:sz="0" w:space="0" w:color="auto"/>
        <w:bottom w:val="none" w:sz="0" w:space="0" w:color="auto"/>
        <w:right w:val="none" w:sz="0" w:space="0" w:color="auto"/>
      </w:divBdr>
    </w:div>
    <w:div w:id="668950889">
      <w:bodyDiv w:val="1"/>
      <w:marLeft w:val="0"/>
      <w:marRight w:val="0"/>
      <w:marTop w:val="0"/>
      <w:marBottom w:val="0"/>
      <w:divBdr>
        <w:top w:val="none" w:sz="0" w:space="0" w:color="auto"/>
        <w:left w:val="none" w:sz="0" w:space="0" w:color="auto"/>
        <w:bottom w:val="none" w:sz="0" w:space="0" w:color="auto"/>
        <w:right w:val="none" w:sz="0" w:space="0" w:color="auto"/>
      </w:divBdr>
    </w:div>
    <w:div w:id="910457793">
      <w:bodyDiv w:val="1"/>
      <w:marLeft w:val="0"/>
      <w:marRight w:val="0"/>
      <w:marTop w:val="0"/>
      <w:marBottom w:val="0"/>
      <w:divBdr>
        <w:top w:val="none" w:sz="0" w:space="0" w:color="auto"/>
        <w:left w:val="none" w:sz="0" w:space="0" w:color="auto"/>
        <w:bottom w:val="none" w:sz="0" w:space="0" w:color="auto"/>
        <w:right w:val="none" w:sz="0" w:space="0" w:color="auto"/>
      </w:divBdr>
    </w:div>
    <w:div w:id="1105731703">
      <w:bodyDiv w:val="1"/>
      <w:marLeft w:val="0"/>
      <w:marRight w:val="0"/>
      <w:marTop w:val="0"/>
      <w:marBottom w:val="0"/>
      <w:divBdr>
        <w:top w:val="none" w:sz="0" w:space="0" w:color="auto"/>
        <w:left w:val="none" w:sz="0" w:space="0" w:color="auto"/>
        <w:bottom w:val="none" w:sz="0" w:space="0" w:color="auto"/>
        <w:right w:val="none" w:sz="0" w:space="0" w:color="auto"/>
      </w:divBdr>
    </w:div>
    <w:div w:id="1203905865">
      <w:bodyDiv w:val="1"/>
      <w:marLeft w:val="0"/>
      <w:marRight w:val="0"/>
      <w:marTop w:val="0"/>
      <w:marBottom w:val="0"/>
      <w:divBdr>
        <w:top w:val="none" w:sz="0" w:space="0" w:color="auto"/>
        <w:left w:val="none" w:sz="0" w:space="0" w:color="auto"/>
        <w:bottom w:val="none" w:sz="0" w:space="0" w:color="auto"/>
        <w:right w:val="none" w:sz="0" w:space="0" w:color="auto"/>
      </w:divBdr>
    </w:div>
    <w:div w:id="1282804790">
      <w:bodyDiv w:val="1"/>
      <w:marLeft w:val="0"/>
      <w:marRight w:val="0"/>
      <w:marTop w:val="0"/>
      <w:marBottom w:val="0"/>
      <w:divBdr>
        <w:top w:val="none" w:sz="0" w:space="0" w:color="auto"/>
        <w:left w:val="none" w:sz="0" w:space="0" w:color="auto"/>
        <w:bottom w:val="none" w:sz="0" w:space="0" w:color="auto"/>
        <w:right w:val="none" w:sz="0" w:space="0" w:color="auto"/>
      </w:divBdr>
    </w:div>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507013871">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594242590">
      <w:bodyDiv w:val="1"/>
      <w:marLeft w:val="0"/>
      <w:marRight w:val="0"/>
      <w:marTop w:val="0"/>
      <w:marBottom w:val="0"/>
      <w:divBdr>
        <w:top w:val="none" w:sz="0" w:space="0" w:color="auto"/>
        <w:left w:val="none" w:sz="0" w:space="0" w:color="auto"/>
        <w:bottom w:val="none" w:sz="0" w:space="0" w:color="auto"/>
        <w:right w:val="none" w:sz="0" w:space="0" w:color="auto"/>
      </w:divBdr>
    </w:div>
    <w:div w:id="1670139323">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799838397">
      <w:bodyDiv w:val="1"/>
      <w:marLeft w:val="0"/>
      <w:marRight w:val="0"/>
      <w:marTop w:val="0"/>
      <w:marBottom w:val="0"/>
      <w:divBdr>
        <w:top w:val="none" w:sz="0" w:space="0" w:color="auto"/>
        <w:left w:val="none" w:sz="0" w:space="0" w:color="auto"/>
        <w:bottom w:val="none" w:sz="0" w:space="0" w:color="auto"/>
        <w:right w:val="none" w:sz="0" w:space="0" w:color="auto"/>
      </w:divBdr>
    </w:div>
    <w:div w:id="1831016725">
      <w:bodyDiv w:val="1"/>
      <w:marLeft w:val="0"/>
      <w:marRight w:val="0"/>
      <w:marTop w:val="0"/>
      <w:marBottom w:val="0"/>
      <w:divBdr>
        <w:top w:val="none" w:sz="0" w:space="0" w:color="auto"/>
        <w:left w:val="none" w:sz="0" w:space="0" w:color="auto"/>
        <w:bottom w:val="none" w:sz="0" w:space="0" w:color="auto"/>
        <w:right w:val="none" w:sz="0" w:space="0" w:color="auto"/>
      </w:divBdr>
    </w:div>
    <w:div w:id="1842812167">
      <w:bodyDiv w:val="1"/>
      <w:marLeft w:val="0"/>
      <w:marRight w:val="0"/>
      <w:marTop w:val="0"/>
      <w:marBottom w:val="0"/>
      <w:divBdr>
        <w:top w:val="none" w:sz="0" w:space="0" w:color="auto"/>
        <w:left w:val="none" w:sz="0" w:space="0" w:color="auto"/>
        <w:bottom w:val="none" w:sz="0" w:space="0" w:color="auto"/>
        <w:right w:val="none" w:sz="0" w:space="0" w:color="auto"/>
      </w:divBdr>
    </w:div>
    <w:div w:id="1873301073">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 w:id="1968778596">
      <w:bodyDiv w:val="1"/>
      <w:marLeft w:val="0"/>
      <w:marRight w:val="0"/>
      <w:marTop w:val="0"/>
      <w:marBottom w:val="0"/>
      <w:divBdr>
        <w:top w:val="none" w:sz="0" w:space="0" w:color="auto"/>
        <w:left w:val="none" w:sz="0" w:space="0" w:color="auto"/>
        <w:bottom w:val="none" w:sz="0" w:space="0" w:color="auto"/>
        <w:right w:val="none" w:sz="0" w:space="0" w:color="auto"/>
      </w:divBdr>
    </w:div>
    <w:div w:id="1974284055">
      <w:bodyDiv w:val="1"/>
      <w:marLeft w:val="0"/>
      <w:marRight w:val="0"/>
      <w:marTop w:val="0"/>
      <w:marBottom w:val="0"/>
      <w:divBdr>
        <w:top w:val="none" w:sz="0" w:space="0" w:color="auto"/>
        <w:left w:val="none" w:sz="0" w:space="0" w:color="auto"/>
        <w:bottom w:val="none" w:sz="0" w:space="0" w:color="auto"/>
        <w:right w:val="none" w:sz="0" w:space="0" w:color="auto"/>
      </w:divBdr>
    </w:div>
    <w:div w:id="2014451320">
      <w:bodyDiv w:val="1"/>
      <w:marLeft w:val="0"/>
      <w:marRight w:val="0"/>
      <w:marTop w:val="0"/>
      <w:marBottom w:val="0"/>
      <w:divBdr>
        <w:top w:val="none" w:sz="0" w:space="0" w:color="auto"/>
        <w:left w:val="none" w:sz="0" w:space="0" w:color="auto"/>
        <w:bottom w:val="none" w:sz="0" w:space="0" w:color="auto"/>
        <w:right w:val="none" w:sz="0" w:space="0" w:color="auto"/>
      </w:divBdr>
    </w:div>
    <w:div w:id="2016613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hs.us5.list-manage.com/track/click?u=fc496e37a02fff5979483df7e&amp;id=059336935d&amp;e=e656ee1255" TargetMode="External"/><Relationship Id="rId18" Type="http://schemas.openxmlformats.org/officeDocument/2006/relationships/hyperlink" Target="https://primarycarebulletin.cmail20.com/t/d-l-fdyjddy-tluhhdhyld-o/" TargetMode="External"/><Relationship Id="rId26" Type="http://schemas.openxmlformats.org/officeDocument/2006/relationships/hyperlink" Target="https://www.bma.org.uk/advice-and-support/gp-practices/gp-service-provision/the-firearms-licensing-process" TargetMode="External"/><Relationship Id="rId3" Type="http://schemas.openxmlformats.org/officeDocument/2006/relationships/customXml" Target="../customXml/item3.xml"/><Relationship Id="rId21" Type="http://schemas.openxmlformats.org/officeDocument/2006/relationships/hyperlink" Target="https://nhs.us5.list-manage.com/track/click?u=fc496e37a02fff5979483df7e&amp;id=e680bc0fa3&amp;e=e656ee1255"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nhs.us5.list-manage.com/track/click?u=fc496e37a02fff5979483df7e&amp;id=5da1cc7afe&amp;e=e656ee1255" TargetMode="External"/><Relationship Id="rId17" Type="http://schemas.openxmlformats.org/officeDocument/2006/relationships/hyperlink" Target="https://primarycarebulletin.cmail20.com/t/d-l-fdyjddy-tluhhdhyld-u/" TargetMode="External"/><Relationship Id="rId25" Type="http://schemas.openxmlformats.org/officeDocument/2006/relationships/hyperlink" Target="https://www.gov.uk/guidance/firearms-licensing-police-guidance"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rimarycarebulletin.cmail20.com/t/d-l-fdyjddy-tluhhdhyld-k/" TargetMode="External"/><Relationship Id="rId20" Type="http://schemas.openxmlformats.org/officeDocument/2006/relationships/hyperlink" Target="https://primarycarebulletin.cmail20.com/t/d-l-fdyjddy-tluhhdhyld-n/" TargetMode="External"/><Relationship Id="rId29" Type="http://schemas.openxmlformats.org/officeDocument/2006/relationships/hyperlink" Target="https://www.bma.org.uk/advice-and-support/gp-practi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hs.us5.list-manage.com/track/click?u=fc496e37a02fff5979483df7e&amp;id=e680bc0fa3&amp;e=e656ee1255" TargetMode="External"/><Relationship Id="rId24" Type="http://schemas.openxmlformats.org/officeDocument/2006/relationships/hyperlink" Target="https://primarycarebulletin.cmail20.com/t/d-l-fdyjddy-tluhhdhyld-q/" TargetMode="External"/><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primarycarebulletin.cmail20.com/t/d-l-fdyjddy-tluhhdhyld-h/" TargetMode="External"/><Relationship Id="rId23" Type="http://schemas.openxmlformats.org/officeDocument/2006/relationships/hyperlink" Target="https://primarycarebulletin.cmail20.com/t/d-l-fdyjddy-tluhhdhyld-c/" TargetMode="External"/><Relationship Id="rId28" Type="http://schemas.openxmlformats.org/officeDocument/2006/relationships/hyperlink" Target="mailto:birmingham.lmc@nhs.net" TargetMode="External"/><Relationship Id="rId10" Type="http://schemas.openxmlformats.org/officeDocument/2006/relationships/endnotes" Target="endnotes.xml"/><Relationship Id="rId19" Type="http://schemas.openxmlformats.org/officeDocument/2006/relationships/hyperlink" Target="https://primarycarebulletin.cmail20.com/t/d-l-fdyjddy-tluhhdhyld-b/" TargetMode="External"/><Relationship Id="rId31" Type="http://schemas.openxmlformats.org/officeDocument/2006/relationships/hyperlink" Target="https://www.england.nhs.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arah.watson106@nhs.net" TargetMode="External"/><Relationship Id="rId22" Type="http://schemas.openxmlformats.org/officeDocument/2006/relationships/hyperlink" Target="https://nhs.us5.list-manage.com/track/click?u=fc496e37a02fff5979483df7e&amp;id=5da1cc7afe&amp;e=e656ee1255" TargetMode="External"/><Relationship Id="rId27" Type="http://schemas.openxmlformats.org/officeDocument/2006/relationships/hyperlink" Target="https://www.bma.org.uk/bma-media-centre/digital-firearms-marker-on-gp-patient-records-is-positive-step-but-not-overnight-solution-says-bma" TargetMode="External"/><Relationship Id="rId30" Type="http://schemas.openxmlformats.org/officeDocument/2006/relationships/hyperlink" Target="https://www.gov.uk/coronavirus"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0" ma:contentTypeDescription="Create a new document." ma:contentTypeScope="" ma:versionID="d62ef4803e0004c08ec6002638139d1f">
  <xsd:schema xmlns:xsd="http://www.w3.org/2001/XMLSchema" xmlns:xs="http://www.w3.org/2001/XMLSchema" xmlns:p="http://schemas.microsoft.com/office/2006/metadata/properties" xmlns:ns2="69cd0928-9a77-479c-a3b1-4e21cbd99e9f" targetNamespace="http://schemas.microsoft.com/office/2006/metadata/properties" ma:root="true" ma:fieldsID="e7eca9b3391a59dc6f1659c05214d089" ns2:_="">
    <xsd:import namespace="69cd0928-9a77-479c-a3b1-4e21cbd99e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2.xml><?xml version="1.0" encoding="utf-8"?>
<ds:datastoreItem xmlns:ds="http://schemas.openxmlformats.org/officeDocument/2006/customXml" ds:itemID="{C3720CC2-90F5-4764-B331-18B3D6F5B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4.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1759</Words>
  <Characters>10032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Cassie Morgan</cp:lastModifiedBy>
  <cp:revision>2</cp:revision>
  <dcterms:created xsi:type="dcterms:W3CDTF">2022-07-08T10:59:00Z</dcterms:created>
  <dcterms:modified xsi:type="dcterms:W3CDTF">2022-07-08T10:59:00Z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ies>
</file>