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54605" w14:textId="12C920D2" w:rsidR="00C5152D" w:rsidRPr="00612E52" w:rsidRDefault="009E2936" w:rsidP="00612E52">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0F1E9FA7">
                <wp:simplePos x="0" y="0"/>
                <wp:positionH relativeFrom="margin">
                  <wp:align>left</wp:align>
                </wp:positionH>
                <wp:positionV relativeFrom="paragraph">
                  <wp:posOffset>69215</wp:posOffset>
                </wp:positionV>
                <wp:extent cx="5463540" cy="80772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23872731"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716F47">
                              <w:rPr>
                                <w:b/>
                                <w:bCs/>
                                <w:i/>
                                <w:iCs/>
                                <w:color w:val="4472C4" w:themeColor="accent1"/>
                                <w:sz w:val="44"/>
                                <w:szCs w:val="44"/>
                              </w:rPr>
                              <w:t xml:space="preserve"> </w:t>
                            </w:r>
                            <w:r w:rsidR="00091E0F">
                              <w:rPr>
                                <w:b/>
                                <w:bCs/>
                                <w:i/>
                                <w:iCs/>
                                <w:color w:val="4472C4" w:themeColor="accent1"/>
                                <w:sz w:val="44"/>
                                <w:szCs w:val="44"/>
                              </w:rPr>
                              <w:t>23</w:t>
                            </w:r>
                            <w:r w:rsidR="00091E0F" w:rsidRPr="00091E0F">
                              <w:rPr>
                                <w:b/>
                                <w:bCs/>
                                <w:i/>
                                <w:iCs/>
                                <w:color w:val="4472C4" w:themeColor="accent1"/>
                                <w:sz w:val="44"/>
                                <w:szCs w:val="44"/>
                                <w:vertAlign w:val="superscript"/>
                              </w:rPr>
                              <w:t>r</w:t>
                            </w:r>
                            <w:r w:rsidR="00091E0F">
                              <w:rPr>
                                <w:b/>
                                <w:bCs/>
                                <w:i/>
                                <w:iCs/>
                                <w:color w:val="4472C4" w:themeColor="accent1"/>
                                <w:sz w:val="44"/>
                                <w:szCs w:val="44"/>
                                <w:vertAlign w:val="superscript"/>
                              </w:rPr>
                              <w:t>d</w:t>
                            </w:r>
                            <w:r w:rsidR="001661D5">
                              <w:rPr>
                                <w:b/>
                                <w:bCs/>
                                <w:i/>
                                <w:iCs/>
                                <w:color w:val="4472C4" w:themeColor="accent1"/>
                                <w:sz w:val="44"/>
                                <w:szCs w:val="44"/>
                              </w:rPr>
                              <w:t xml:space="preserve"> of January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3.6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" filled="f" stroked="f">
                <v:textbox>
                  <w:txbxContent>
                    <w:p w14:paraId="456C3362" w14:textId="23872731"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716F47">
                        <w:rPr>
                          <w:b/>
                          <w:bCs/>
                          <w:i/>
                          <w:iCs/>
                          <w:color w:val="4472C4" w:themeColor="accent1"/>
                          <w:sz w:val="44"/>
                          <w:szCs w:val="44"/>
                        </w:rPr>
                        <w:t xml:space="preserve"> </w:t>
                      </w:r>
                      <w:r w:rsidR="00091E0F">
                        <w:rPr>
                          <w:b/>
                          <w:bCs/>
                          <w:i/>
                          <w:iCs/>
                          <w:color w:val="4472C4" w:themeColor="accent1"/>
                          <w:sz w:val="44"/>
                          <w:szCs w:val="44"/>
                        </w:rPr>
                        <w:t>23</w:t>
                      </w:r>
                      <w:r w:rsidR="00091E0F" w:rsidRPr="00091E0F">
                        <w:rPr>
                          <w:b/>
                          <w:bCs/>
                          <w:i/>
                          <w:iCs/>
                          <w:color w:val="4472C4" w:themeColor="accent1"/>
                          <w:sz w:val="44"/>
                          <w:szCs w:val="44"/>
                          <w:vertAlign w:val="superscript"/>
                        </w:rPr>
                        <w:t>r</w:t>
                      </w:r>
                      <w:r w:rsidR="00091E0F">
                        <w:rPr>
                          <w:b/>
                          <w:bCs/>
                          <w:i/>
                          <w:iCs/>
                          <w:color w:val="4472C4" w:themeColor="accent1"/>
                          <w:sz w:val="44"/>
                          <w:szCs w:val="44"/>
                          <w:vertAlign w:val="superscript"/>
                        </w:rPr>
                        <w:t>d</w:t>
                      </w:r>
                      <w:r w:rsidR="001661D5">
                        <w:rPr>
                          <w:b/>
                          <w:bCs/>
                          <w:i/>
                          <w:iCs/>
                          <w:color w:val="4472C4" w:themeColor="accent1"/>
                          <w:sz w:val="44"/>
                          <w:szCs w:val="44"/>
                        </w:rPr>
                        <w:t xml:space="preserve"> of January 2024</w:t>
                      </w:r>
                    </w:p>
                  </w:txbxContent>
                </v:textbox>
                <w10:wrap type="topAndBottom" anchorx="margin"/>
              </v:shape>
            </w:pict>
          </mc:Fallback>
        </mc:AlternateContent>
      </w:r>
    </w:p>
    <w:p w14:paraId="15ED4ED1" w14:textId="77777777" w:rsidR="00E77388" w:rsidRDefault="00E77388" w:rsidP="00587D9E">
      <w:pPr>
        <w:spacing w:after="0"/>
        <w:textAlignment w:val="baseline"/>
        <w:rPr>
          <w:rFonts w:cstheme="minorHAnsi"/>
          <w:sz w:val="24"/>
          <w:szCs w:val="24"/>
        </w:rPr>
      </w:pPr>
    </w:p>
    <w:p w14:paraId="1FDFC329" w14:textId="48872BB4" w:rsidR="00E77388" w:rsidRDefault="004F7E58" w:rsidP="00C60307">
      <w:pPr>
        <w:pStyle w:val="ListParagraph"/>
        <w:numPr>
          <w:ilvl w:val="0"/>
          <w:numId w:val="2"/>
        </w:numPr>
        <w:spacing w:after="0"/>
        <w:textAlignment w:val="baseline"/>
        <w:rPr>
          <w:rFonts w:cstheme="minorHAnsi"/>
          <w:b/>
          <w:bCs/>
          <w:color w:val="2F5496" w:themeColor="accent1" w:themeShade="BF"/>
          <w:sz w:val="24"/>
          <w:szCs w:val="24"/>
        </w:rPr>
      </w:pPr>
      <w:hyperlink w:anchor="NO1" w:history="1">
        <w:r w:rsidR="00C60307" w:rsidRPr="004F7E58">
          <w:rPr>
            <w:rStyle w:val="Hyperlink"/>
            <w:rFonts w:cstheme="minorHAnsi"/>
            <w:b/>
            <w:bCs/>
            <w:sz w:val="24"/>
            <w:szCs w:val="24"/>
          </w:rPr>
          <w:t>Reminder: Non-p</w:t>
        </w:r>
        <w:r w:rsidR="003003A3" w:rsidRPr="004F7E58">
          <w:rPr>
            <w:rStyle w:val="Hyperlink"/>
            <w:rFonts w:cstheme="minorHAnsi"/>
            <w:b/>
            <w:bCs/>
            <w:sz w:val="24"/>
            <w:szCs w:val="24"/>
          </w:rPr>
          <w:t>orcine gelatine-containing MMR vaccine</w:t>
        </w:r>
      </w:hyperlink>
      <w:r w:rsidR="003003A3">
        <w:rPr>
          <w:rFonts w:cstheme="minorHAnsi"/>
          <w:b/>
          <w:bCs/>
          <w:color w:val="2F5496" w:themeColor="accent1" w:themeShade="BF"/>
          <w:sz w:val="24"/>
          <w:szCs w:val="24"/>
        </w:rPr>
        <w:t xml:space="preserve"> </w:t>
      </w:r>
    </w:p>
    <w:p w14:paraId="701AE8A1" w14:textId="6CCABBE8" w:rsidR="003003A3" w:rsidRDefault="004F7E58" w:rsidP="00C60307">
      <w:pPr>
        <w:pStyle w:val="ListParagraph"/>
        <w:numPr>
          <w:ilvl w:val="0"/>
          <w:numId w:val="2"/>
        </w:numPr>
        <w:spacing w:after="0"/>
        <w:textAlignment w:val="baseline"/>
        <w:rPr>
          <w:rFonts w:cstheme="minorHAnsi"/>
          <w:b/>
          <w:bCs/>
          <w:color w:val="2F5496" w:themeColor="accent1" w:themeShade="BF"/>
          <w:sz w:val="24"/>
          <w:szCs w:val="24"/>
        </w:rPr>
      </w:pPr>
      <w:hyperlink w:anchor="NO2" w:history="1">
        <w:r w:rsidR="003003A3" w:rsidRPr="004F7E58">
          <w:rPr>
            <w:rStyle w:val="Hyperlink"/>
            <w:rFonts w:cstheme="minorHAnsi"/>
            <w:b/>
            <w:bCs/>
            <w:sz w:val="24"/>
            <w:szCs w:val="24"/>
          </w:rPr>
          <w:t>Reminder: MMR requests from adults</w:t>
        </w:r>
      </w:hyperlink>
    </w:p>
    <w:p w14:paraId="7190C21F" w14:textId="2D3B89C4" w:rsidR="003003A3" w:rsidRDefault="004F7E58" w:rsidP="00C60307">
      <w:pPr>
        <w:pStyle w:val="ListParagraph"/>
        <w:numPr>
          <w:ilvl w:val="0"/>
          <w:numId w:val="2"/>
        </w:numPr>
        <w:spacing w:after="0"/>
        <w:textAlignment w:val="baseline"/>
        <w:rPr>
          <w:rFonts w:cstheme="minorHAnsi"/>
          <w:b/>
          <w:bCs/>
          <w:color w:val="2F5496" w:themeColor="accent1" w:themeShade="BF"/>
          <w:sz w:val="24"/>
          <w:szCs w:val="24"/>
        </w:rPr>
      </w:pPr>
      <w:hyperlink w:anchor="NO3" w:history="1">
        <w:r w:rsidR="00C071CD" w:rsidRPr="004F7E58">
          <w:rPr>
            <w:rStyle w:val="Hyperlink"/>
            <w:rFonts w:cstheme="minorHAnsi"/>
            <w:b/>
            <w:bCs/>
            <w:sz w:val="24"/>
            <w:szCs w:val="24"/>
          </w:rPr>
          <w:t>Giving patients online access to new GP health record entries</w:t>
        </w:r>
      </w:hyperlink>
      <w:r w:rsidR="00C071CD">
        <w:rPr>
          <w:rFonts w:cstheme="minorHAnsi"/>
          <w:b/>
          <w:bCs/>
          <w:color w:val="2F5496" w:themeColor="accent1" w:themeShade="BF"/>
          <w:sz w:val="24"/>
          <w:szCs w:val="24"/>
        </w:rPr>
        <w:t xml:space="preserve"> </w:t>
      </w:r>
    </w:p>
    <w:p w14:paraId="4713AAE9" w14:textId="5A6F5B9C" w:rsidR="00C071CD" w:rsidRDefault="004F7E58" w:rsidP="00C60307">
      <w:pPr>
        <w:pStyle w:val="ListParagraph"/>
        <w:numPr>
          <w:ilvl w:val="0"/>
          <w:numId w:val="2"/>
        </w:numPr>
        <w:spacing w:after="0"/>
        <w:textAlignment w:val="baseline"/>
        <w:rPr>
          <w:rFonts w:cstheme="minorHAnsi"/>
          <w:b/>
          <w:bCs/>
          <w:color w:val="2F5496" w:themeColor="accent1" w:themeShade="BF"/>
          <w:sz w:val="24"/>
          <w:szCs w:val="24"/>
        </w:rPr>
      </w:pPr>
      <w:hyperlink w:anchor="NO4" w:history="1">
        <w:r w:rsidR="00C071CD" w:rsidRPr="004F7E58">
          <w:rPr>
            <w:rStyle w:val="Hyperlink"/>
            <w:rFonts w:cstheme="minorHAnsi"/>
            <w:b/>
            <w:bCs/>
            <w:sz w:val="24"/>
            <w:szCs w:val="24"/>
          </w:rPr>
          <w:t xml:space="preserve">Measles, Mumps, Rubella (MMR) National </w:t>
        </w:r>
        <w:r w:rsidR="00E93428" w:rsidRPr="004F7E58">
          <w:rPr>
            <w:rStyle w:val="Hyperlink"/>
            <w:rFonts w:cstheme="minorHAnsi"/>
            <w:b/>
            <w:bCs/>
            <w:sz w:val="24"/>
            <w:szCs w:val="24"/>
          </w:rPr>
          <w:t>call recall Advance Notice</w:t>
        </w:r>
      </w:hyperlink>
      <w:r w:rsidR="00E93428">
        <w:rPr>
          <w:rFonts w:cstheme="minorHAnsi"/>
          <w:b/>
          <w:bCs/>
          <w:color w:val="2F5496" w:themeColor="accent1" w:themeShade="BF"/>
          <w:sz w:val="24"/>
          <w:szCs w:val="24"/>
        </w:rPr>
        <w:t xml:space="preserve"> </w:t>
      </w:r>
    </w:p>
    <w:p w14:paraId="1234C323" w14:textId="55AE1EB1" w:rsidR="00E93428" w:rsidRDefault="004F7E58" w:rsidP="00C60307">
      <w:pPr>
        <w:pStyle w:val="ListParagraph"/>
        <w:numPr>
          <w:ilvl w:val="0"/>
          <w:numId w:val="2"/>
        </w:numPr>
        <w:spacing w:after="0"/>
        <w:textAlignment w:val="baseline"/>
        <w:rPr>
          <w:rFonts w:cstheme="minorHAnsi"/>
          <w:b/>
          <w:bCs/>
          <w:color w:val="2F5496" w:themeColor="accent1" w:themeShade="BF"/>
          <w:sz w:val="24"/>
          <w:szCs w:val="24"/>
        </w:rPr>
      </w:pPr>
      <w:hyperlink w:anchor="NO5" w:history="1">
        <w:r w:rsidR="00E93428" w:rsidRPr="004F7E58">
          <w:rPr>
            <w:rStyle w:val="Hyperlink"/>
            <w:rFonts w:cstheme="minorHAnsi"/>
            <w:b/>
            <w:bCs/>
            <w:sz w:val="24"/>
            <w:szCs w:val="24"/>
          </w:rPr>
          <w:t xml:space="preserve">New National Patient Safety Alert </w:t>
        </w:r>
        <w:r w:rsidR="00593248" w:rsidRPr="004F7E58">
          <w:rPr>
            <w:rStyle w:val="Hyperlink"/>
            <w:rFonts w:cstheme="minorHAnsi"/>
            <w:b/>
            <w:bCs/>
            <w:sz w:val="24"/>
            <w:szCs w:val="24"/>
          </w:rPr>
          <w:t xml:space="preserve">for GLP-1 receptor antagonist (GLP-1 RAS) </w:t>
        </w:r>
        <w:r w:rsidRPr="004F7E58">
          <w:rPr>
            <w:rStyle w:val="Hyperlink"/>
            <w:rFonts w:cstheme="minorHAnsi"/>
            <w:b/>
            <w:bCs/>
            <w:sz w:val="24"/>
            <w:szCs w:val="24"/>
          </w:rPr>
          <w:t>for the treatment of type 2 diabetes</w:t>
        </w:r>
      </w:hyperlink>
      <w:r>
        <w:rPr>
          <w:rFonts w:cstheme="minorHAnsi"/>
          <w:b/>
          <w:bCs/>
          <w:color w:val="2F5496" w:themeColor="accent1" w:themeShade="BF"/>
          <w:sz w:val="24"/>
          <w:szCs w:val="24"/>
        </w:rPr>
        <w:t xml:space="preserve"> </w:t>
      </w:r>
    </w:p>
    <w:p w14:paraId="3AB3BFB1" w14:textId="77777777" w:rsidR="004F7E58" w:rsidRPr="004F7E58" w:rsidRDefault="004F7E58" w:rsidP="004F7E58">
      <w:pPr>
        <w:spacing w:after="0"/>
        <w:ind w:left="360"/>
        <w:textAlignment w:val="baseline"/>
        <w:rPr>
          <w:rFonts w:cstheme="minorHAnsi"/>
          <w:b/>
          <w:bCs/>
          <w:color w:val="2F5496" w:themeColor="accent1" w:themeShade="BF"/>
          <w:sz w:val="24"/>
          <w:szCs w:val="24"/>
        </w:rPr>
      </w:pPr>
    </w:p>
    <w:p w14:paraId="366F06AF" w14:textId="77777777" w:rsidR="005B2F41" w:rsidRDefault="005B2F41" w:rsidP="00587D9E">
      <w:pPr>
        <w:spacing w:after="0"/>
        <w:textAlignment w:val="baseline"/>
        <w:rPr>
          <w:rFonts w:cstheme="minorHAnsi"/>
          <w:sz w:val="24"/>
          <w:szCs w:val="24"/>
        </w:rPr>
      </w:pPr>
    </w:p>
    <w:p w14:paraId="70929585" w14:textId="77777777" w:rsidR="005B2F41" w:rsidRDefault="005B2F41" w:rsidP="00587D9E">
      <w:pPr>
        <w:spacing w:after="0"/>
        <w:textAlignment w:val="baseline"/>
        <w:rPr>
          <w:rFonts w:cstheme="minorHAnsi"/>
          <w:sz w:val="24"/>
          <w:szCs w:val="24"/>
        </w:rPr>
      </w:pPr>
    </w:p>
    <w:p w14:paraId="3C56EB7B" w14:textId="77777777" w:rsidR="001661D5" w:rsidRDefault="001661D5" w:rsidP="00587D9E">
      <w:pPr>
        <w:spacing w:after="0"/>
        <w:textAlignment w:val="baseline"/>
        <w:rPr>
          <w:rFonts w:cstheme="minorHAnsi"/>
          <w:sz w:val="24"/>
          <w:szCs w:val="24"/>
        </w:rPr>
      </w:pPr>
    </w:p>
    <w:p w14:paraId="255986E4" w14:textId="77777777" w:rsidR="00091E0F" w:rsidRDefault="00091E0F" w:rsidP="00587D9E">
      <w:pPr>
        <w:spacing w:after="0"/>
        <w:textAlignment w:val="baseline"/>
        <w:rPr>
          <w:rFonts w:cstheme="minorHAnsi"/>
          <w:sz w:val="24"/>
          <w:szCs w:val="24"/>
        </w:rPr>
      </w:pPr>
    </w:p>
    <w:p w14:paraId="58BAF66F" w14:textId="77777777" w:rsidR="00091E0F" w:rsidRDefault="00091E0F" w:rsidP="00587D9E">
      <w:pPr>
        <w:spacing w:after="0"/>
        <w:textAlignment w:val="baseline"/>
        <w:rPr>
          <w:rFonts w:cstheme="minorHAnsi"/>
          <w:sz w:val="24"/>
          <w:szCs w:val="24"/>
        </w:rPr>
      </w:pPr>
    </w:p>
    <w:p w14:paraId="1246C72C" w14:textId="77777777" w:rsidR="00091E0F" w:rsidRDefault="00091E0F" w:rsidP="00587D9E">
      <w:pPr>
        <w:spacing w:after="0"/>
        <w:textAlignment w:val="baseline"/>
        <w:rPr>
          <w:rFonts w:cstheme="minorHAnsi"/>
          <w:sz w:val="24"/>
          <w:szCs w:val="24"/>
        </w:rPr>
      </w:pPr>
    </w:p>
    <w:p w14:paraId="64DF1A96" w14:textId="77777777" w:rsidR="00091E0F" w:rsidRDefault="00091E0F" w:rsidP="00587D9E">
      <w:pPr>
        <w:spacing w:after="0"/>
        <w:textAlignment w:val="baseline"/>
        <w:rPr>
          <w:rFonts w:cstheme="minorHAnsi"/>
          <w:sz w:val="24"/>
          <w:szCs w:val="24"/>
        </w:rPr>
      </w:pPr>
    </w:p>
    <w:p w14:paraId="267D903D" w14:textId="77777777" w:rsidR="00091E0F" w:rsidRDefault="00091E0F" w:rsidP="00587D9E">
      <w:pPr>
        <w:spacing w:after="0"/>
        <w:textAlignment w:val="baseline"/>
        <w:rPr>
          <w:rFonts w:cstheme="minorHAnsi"/>
          <w:sz w:val="24"/>
          <w:szCs w:val="24"/>
        </w:rPr>
      </w:pPr>
    </w:p>
    <w:p w14:paraId="103FB7B6" w14:textId="77777777" w:rsidR="00091E0F" w:rsidRDefault="00091E0F" w:rsidP="00587D9E">
      <w:pPr>
        <w:spacing w:after="0"/>
        <w:textAlignment w:val="baseline"/>
        <w:rPr>
          <w:rFonts w:cstheme="minorHAnsi"/>
          <w:sz w:val="24"/>
          <w:szCs w:val="24"/>
        </w:rPr>
      </w:pPr>
    </w:p>
    <w:p w14:paraId="5FE5D1F9" w14:textId="77777777" w:rsidR="00091E0F" w:rsidRPr="003E1832" w:rsidRDefault="00091E0F" w:rsidP="00587D9E">
      <w:pPr>
        <w:spacing w:after="0"/>
        <w:textAlignment w:val="baseline"/>
        <w:rPr>
          <w:rFonts w:cstheme="minorHAnsi"/>
          <w:color w:val="000000" w:themeColor="text1"/>
          <w:sz w:val="24"/>
          <w:szCs w:val="24"/>
        </w:rPr>
      </w:pPr>
    </w:p>
    <w:p w14:paraId="6D5D58D8" w14:textId="77777777" w:rsidR="003E1832" w:rsidRDefault="003E1832" w:rsidP="003E183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cstheme="minorHAnsi"/>
          <w:color w:val="000000"/>
        </w:rPr>
      </w:pPr>
      <w:bookmarkStart w:id="0" w:name="NO1"/>
      <w:r>
        <w:rPr>
          <w:rStyle w:val="Strong"/>
          <w:rFonts w:cstheme="minorHAnsi"/>
          <w:color w:val="000000" w:themeColor="text1"/>
        </w:rPr>
        <w:t>1.</w:t>
      </w:r>
      <w:r w:rsidRPr="003E1832">
        <w:rPr>
          <w:rStyle w:val="Strong"/>
          <w:rFonts w:cstheme="minorHAnsi"/>
          <w:color w:val="000000" w:themeColor="text1"/>
        </w:rPr>
        <w:t xml:space="preserve">Reminder: </w:t>
      </w:r>
      <w:r w:rsidRPr="003E1832">
        <w:rPr>
          <w:rStyle w:val="Strong"/>
          <w:rFonts w:cstheme="minorHAnsi"/>
          <w:color w:val="000000"/>
        </w:rPr>
        <w:t>Non-porcine gelatine-containing MMR vaccine</w:t>
      </w:r>
    </w:p>
    <w:bookmarkEnd w:id="0"/>
    <w:p w14:paraId="56C9B392" w14:textId="492D63E0" w:rsidR="00091E0F" w:rsidRPr="003E1832" w:rsidRDefault="003E1832" w:rsidP="003E183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sz w:val="28"/>
          <w:szCs w:val="28"/>
        </w:rPr>
      </w:pPr>
      <w:r w:rsidRPr="003E1832">
        <w:rPr>
          <w:rFonts w:cstheme="minorHAnsi"/>
          <w:color w:val="202020"/>
        </w:rPr>
        <w:br/>
        <w:t>With the rising rate of cases of measles in Birmingham and Solihull, and with local campaigns to promote MMR vaccination uptake, there is raised awareness of the MMR vaccination in the local population. Therefore, practices should prepare for potential additional demand.</w:t>
      </w:r>
      <w:r w:rsidRPr="003E1832">
        <w:rPr>
          <w:rFonts w:cstheme="minorHAnsi"/>
          <w:color w:val="202020"/>
        </w:rPr>
        <w:br/>
      </w:r>
      <w:r w:rsidRPr="003E1832">
        <w:rPr>
          <w:rFonts w:cstheme="minorHAnsi"/>
          <w:color w:val="202020"/>
        </w:rPr>
        <w:br/>
        <w:t xml:space="preserve">Parents not wishing their children to have the porcine gelatine-containing MMR vaccine should request the </w:t>
      </w:r>
      <w:proofErr w:type="spellStart"/>
      <w:r w:rsidRPr="003E1832">
        <w:rPr>
          <w:rFonts w:cstheme="minorHAnsi"/>
          <w:color w:val="202020"/>
        </w:rPr>
        <w:t>Priorix</w:t>
      </w:r>
      <w:proofErr w:type="spellEnd"/>
      <w:r w:rsidRPr="003E1832">
        <w:rPr>
          <w:rFonts w:cstheme="minorHAnsi"/>
          <w:color w:val="202020"/>
        </w:rPr>
        <w:t xml:space="preserve">® vaccine from their GP. In addition, as there is no upper age limit for administration of MMR adults may request a non-porcine vaccine. Practices can typically draw down 20 doses of </w:t>
      </w:r>
      <w:proofErr w:type="spellStart"/>
      <w:r w:rsidRPr="003E1832">
        <w:rPr>
          <w:rFonts w:cstheme="minorHAnsi"/>
          <w:color w:val="202020"/>
        </w:rPr>
        <w:t>Priorix</w:t>
      </w:r>
      <w:proofErr w:type="spellEnd"/>
      <w:r w:rsidRPr="003E1832">
        <w:rPr>
          <w:rFonts w:cstheme="minorHAnsi"/>
          <w:color w:val="202020"/>
        </w:rPr>
        <w:t xml:space="preserve"> per week via </w:t>
      </w:r>
      <w:proofErr w:type="spellStart"/>
      <w:r w:rsidRPr="003E1832">
        <w:rPr>
          <w:rFonts w:cstheme="minorHAnsi"/>
          <w:color w:val="202020"/>
        </w:rPr>
        <w:t>ImmForm</w:t>
      </w:r>
      <w:proofErr w:type="spellEnd"/>
      <w:r w:rsidRPr="003E1832">
        <w:rPr>
          <w:rFonts w:cstheme="minorHAnsi"/>
          <w:color w:val="202020"/>
        </w:rPr>
        <w:t xml:space="preserve">, however this limit can be increased by </w:t>
      </w:r>
      <w:proofErr w:type="spellStart"/>
      <w:r w:rsidRPr="003E1832">
        <w:rPr>
          <w:rFonts w:cstheme="minorHAnsi"/>
          <w:color w:val="202020"/>
        </w:rPr>
        <w:t>ImmForm</w:t>
      </w:r>
      <w:proofErr w:type="spellEnd"/>
      <w:r w:rsidRPr="003E1832">
        <w:rPr>
          <w:rFonts w:cstheme="minorHAnsi"/>
          <w:color w:val="202020"/>
        </w:rPr>
        <w:t xml:space="preserve"> – practices will need to contact </w:t>
      </w:r>
      <w:proofErr w:type="spellStart"/>
      <w:r w:rsidRPr="003E1832">
        <w:rPr>
          <w:rFonts w:cstheme="minorHAnsi"/>
          <w:color w:val="202020"/>
        </w:rPr>
        <w:t>ImmForm</w:t>
      </w:r>
      <w:proofErr w:type="spellEnd"/>
      <w:r w:rsidRPr="003E1832">
        <w:rPr>
          <w:rFonts w:cstheme="minorHAnsi"/>
          <w:color w:val="202020"/>
        </w:rPr>
        <w:t xml:space="preserve"> directly to agree this. We encourage larger practices and/or practices serving a population substantially likely to request a non-porcine option to contact </w:t>
      </w:r>
      <w:proofErr w:type="spellStart"/>
      <w:r w:rsidRPr="003E1832">
        <w:rPr>
          <w:rFonts w:cstheme="minorHAnsi"/>
          <w:color w:val="202020"/>
        </w:rPr>
        <w:t>ImmForm</w:t>
      </w:r>
      <w:proofErr w:type="spellEnd"/>
      <w:r w:rsidRPr="003E1832">
        <w:rPr>
          <w:rFonts w:cstheme="minorHAnsi"/>
          <w:color w:val="202020"/>
        </w:rPr>
        <w:t xml:space="preserve"> at the earliest opportunity.</w:t>
      </w:r>
    </w:p>
    <w:p w14:paraId="39BB9D19" w14:textId="77777777" w:rsidR="00091E0F" w:rsidRDefault="00091E0F" w:rsidP="00587D9E">
      <w:pPr>
        <w:spacing w:after="0"/>
        <w:textAlignment w:val="baseline"/>
        <w:rPr>
          <w:rFonts w:cstheme="minorHAnsi"/>
          <w:sz w:val="24"/>
          <w:szCs w:val="24"/>
        </w:rPr>
      </w:pPr>
    </w:p>
    <w:p w14:paraId="62745B98" w14:textId="77777777" w:rsidR="00091E0F" w:rsidRDefault="00091E0F" w:rsidP="00587D9E">
      <w:pPr>
        <w:spacing w:after="0"/>
        <w:textAlignment w:val="baseline"/>
        <w:rPr>
          <w:rFonts w:cstheme="minorHAnsi"/>
          <w:sz w:val="24"/>
          <w:szCs w:val="24"/>
        </w:rPr>
      </w:pPr>
    </w:p>
    <w:p w14:paraId="02FA5E18" w14:textId="77777777" w:rsidR="004F7E58" w:rsidRPr="0021104A" w:rsidRDefault="004F7E58" w:rsidP="00587D9E">
      <w:pPr>
        <w:spacing w:after="0"/>
        <w:textAlignment w:val="baseline"/>
        <w:rPr>
          <w:rFonts w:cstheme="minorHAnsi"/>
          <w:sz w:val="28"/>
          <w:szCs w:val="28"/>
        </w:rPr>
      </w:pPr>
    </w:p>
    <w:p w14:paraId="4F67E4FF" w14:textId="2734AF21" w:rsidR="00E973F2" w:rsidRPr="0021104A" w:rsidRDefault="0021104A" w:rsidP="0021104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60" w:lineRule="auto"/>
        <w:rPr>
          <w:rFonts w:cstheme="minorHAnsi"/>
          <w:color w:val="202020"/>
        </w:rPr>
      </w:pPr>
      <w:bookmarkStart w:id="1" w:name="NO2"/>
      <w:r w:rsidRPr="0021104A">
        <w:rPr>
          <w:rStyle w:val="Strong"/>
          <w:rFonts w:cstheme="minorHAnsi"/>
          <w:color w:val="000000" w:themeColor="text1"/>
        </w:rPr>
        <w:lastRenderedPageBreak/>
        <w:t>2.</w:t>
      </w:r>
      <w:r w:rsidR="00E973F2" w:rsidRPr="0021104A">
        <w:rPr>
          <w:rStyle w:val="Strong"/>
          <w:rFonts w:cstheme="minorHAnsi"/>
          <w:color w:val="000000" w:themeColor="text1"/>
        </w:rPr>
        <w:t xml:space="preserve">Reminder: </w:t>
      </w:r>
      <w:r w:rsidR="00E973F2" w:rsidRPr="0021104A">
        <w:rPr>
          <w:rStyle w:val="Strong"/>
          <w:rFonts w:cstheme="minorHAnsi"/>
          <w:color w:val="000000"/>
        </w:rPr>
        <w:t>MMR requests from adults</w:t>
      </w:r>
      <w:bookmarkEnd w:id="1"/>
      <w:r w:rsidR="00E973F2" w:rsidRPr="0021104A">
        <w:rPr>
          <w:rFonts w:cstheme="minorHAnsi"/>
          <w:color w:val="202020"/>
        </w:rPr>
        <w:br/>
        <w:t>Practices are advised to review the Green Book guidance for measles (</w:t>
      </w:r>
      <w:hyperlink r:id="rId11" w:tgtFrame="_blank" w:history="1">
        <w:r w:rsidR="00E973F2" w:rsidRPr="0021104A">
          <w:rPr>
            <w:rStyle w:val="Hyperlink"/>
            <w:rFonts w:cstheme="minorHAnsi"/>
            <w:color w:val="005EB8"/>
          </w:rPr>
          <w:t>chapter 21</w:t>
        </w:r>
      </w:hyperlink>
      <w:r w:rsidR="00E973F2" w:rsidRPr="0021104A">
        <w:rPr>
          <w:rFonts w:cstheme="minorHAnsi"/>
          <w:color w:val="202020"/>
        </w:rPr>
        <w:t>) when adults request MMR vaccination. Key points from this chapter include but are not limited to:</w:t>
      </w:r>
      <w:r w:rsidR="00E973F2" w:rsidRPr="0021104A">
        <w:rPr>
          <w:rFonts w:cstheme="minorHAnsi"/>
          <w:color w:val="202020"/>
        </w:rPr>
        <w:br/>
      </w:r>
      <w:r w:rsidR="00E973F2" w:rsidRPr="0021104A">
        <w:rPr>
          <w:rFonts w:cstheme="minorHAnsi"/>
          <w:color w:val="202020"/>
        </w:rPr>
        <w:br/>
      </w:r>
      <w:r w:rsidR="00E973F2" w:rsidRPr="0021104A">
        <w:rPr>
          <w:rStyle w:val="Emphasis"/>
          <w:rFonts w:cstheme="minorHAnsi"/>
          <w:i w:val="0"/>
          <w:iCs w:val="0"/>
          <w:color w:val="202020"/>
        </w:rPr>
        <w:t>The decision on when to vaccinate older adults needs to take into consideration the past vaccination history, the likelihood of an individual remaining susceptible and the future risk of exposure and disease:</w:t>
      </w:r>
      <w:r w:rsidR="00E973F2" w:rsidRPr="0021104A">
        <w:rPr>
          <w:rFonts w:cstheme="minorHAnsi"/>
          <w:color w:val="202020"/>
        </w:rPr>
        <w:t xml:space="preserve"> </w:t>
      </w:r>
    </w:p>
    <w:p w14:paraId="5FC8F602" w14:textId="53139FA9" w:rsidR="00E973F2" w:rsidRPr="0021104A" w:rsidRDefault="0021104A" w:rsidP="0021104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r w:rsidRPr="0021104A">
        <w:rPr>
          <w:rStyle w:val="Emphasis"/>
          <w:rFonts w:eastAsia="Times New Roman" w:cstheme="minorHAnsi"/>
          <w:i w:val="0"/>
          <w:iCs w:val="0"/>
          <w:color w:val="202020"/>
        </w:rPr>
        <w:t>I</w:t>
      </w:r>
      <w:r w:rsidR="00E973F2" w:rsidRPr="0021104A">
        <w:rPr>
          <w:rStyle w:val="Emphasis"/>
          <w:rFonts w:eastAsia="Times New Roman" w:cstheme="minorHAnsi"/>
          <w:i w:val="0"/>
          <w:iCs w:val="0"/>
          <w:color w:val="202020"/>
        </w:rPr>
        <w:t>ndividuals who were born in the UK between 1980 and 1990 may not be protected against mumps but are likely to be vaccinated against measles and rubella. They may never have received a mumps-containing vaccine or had only one dose of MMR and had limited opportunity for exposure to natural mumps. They should be recalled and given MMR vaccine. If this is their first dose, a further dose of MMR should be given from one month later.</w:t>
      </w:r>
    </w:p>
    <w:p w14:paraId="3B928FBB" w14:textId="2356389A" w:rsidR="00E973F2" w:rsidRPr="0021104A" w:rsidRDefault="0021104A" w:rsidP="0021104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r w:rsidRPr="0021104A">
        <w:rPr>
          <w:rStyle w:val="Emphasis"/>
          <w:rFonts w:eastAsia="Times New Roman" w:cstheme="minorHAnsi"/>
          <w:i w:val="0"/>
          <w:iCs w:val="0"/>
          <w:color w:val="202020"/>
        </w:rPr>
        <w:t>I</w:t>
      </w:r>
      <w:r w:rsidR="00E973F2" w:rsidRPr="0021104A">
        <w:rPr>
          <w:rStyle w:val="Emphasis"/>
          <w:rFonts w:eastAsia="Times New Roman" w:cstheme="minorHAnsi"/>
          <w:i w:val="0"/>
          <w:iCs w:val="0"/>
          <w:color w:val="202020"/>
        </w:rPr>
        <w:t xml:space="preserve">ndividuals born between 1970 and 1979 may have been vaccinated against measles and many will have been exposed to mumps and rubella during childhood. However, this age group should be offered MMR wherever feasible, particularly if they </w:t>
      </w:r>
      <w:r w:rsidRPr="0021104A">
        <w:rPr>
          <w:rStyle w:val="Emphasis"/>
          <w:rFonts w:eastAsia="Times New Roman" w:cstheme="minorHAnsi"/>
          <w:i w:val="0"/>
          <w:iCs w:val="0"/>
          <w:color w:val="202020"/>
        </w:rPr>
        <w:t>are</w:t>
      </w:r>
      <w:r w:rsidR="00E973F2" w:rsidRPr="0021104A">
        <w:rPr>
          <w:rStyle w:val="Emphasis"/>
          <w:rFonts w:eastAsia="Times New Roman" w:cstheme="minorHAnsi"/>
          <w:i w:val="0"/>
          <w:iCs w:val="0"/>
          <w:color w:val="202020"/>
        </w:rPr>
        <w:t xml:space="preserve"> at high risk of exposure. Where such adults are being vaccinated because they have been demonstrated to be susceptible to at least one of the vaccine components, then either two doses should be given, or there should be evidence of seroconversion to the relevant antigen.</w:t>
      </w:r>
    </w:p>
    <w:p w14:paraId="603F2653" w14:textId="4B209C24" w:rsidR="00091E0F" w:rsidRPr="0021104A" w:rsidRDefault="0021104A" w:rsidP="0021104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r w:rsidRPr="0021104A">
        <w:rPr>
          <w:rStyle w:val="Emphasis"/>
          <w:rFonts w:eastAsia="Times New Roman" w:cstheme="minorHAnsi"/>
          <w:i w:val="0"/>
          <w:iCs w:val="0"/>
          <w:color w:val="202020"/>
        </w:rPr>
        <w:t>I</w:t>
      </w:r>
      <w:r w:rsidR="00E973F2" w:rsidRPr="0021104A">
        <w:rPr>
          <w:rStyle w:val="Emphasis"/>
          <w:rFonts w:eastAsia="Times New Roman" w:cstheme="minorHAnsi"/>
          <w:i w:val="0"/>
          <w:iCs w:val="0"/>
          <w:color w:val="202020"/>
        </w:rPr>
        <w:t xml:space="preserve">ndividuals born before 1970 are likely to have had all three natural infections and are less likely to be susceptible. MMR vaccine should be offered to such individuals on request or if they </w:t>
      </w:r>
      <w:r w:rsidRPr="0021104A">
        <w:rPr>
          <w:rStyle w:val="Emphasis"/>
          <w:rFonts w:eastAsia="Times New Roman" w:cstheme="minorHAnsi"/>
          <w:i w:val="0"/>
          <w:iCs w:val="0"/>
          <w:color w:val="202020"/>
        </w:rPr>
        <w:t>are</w:t>
      </w:r>
      <w:r w:rsidR="00E973F2" w:rsidRPr="0021104A">
        <w:rPr>
          <w:rStyle w:val="Emphasis"/>
          <w:rFonts w:eastAsia="Times New Roman" w:cstheme="minorHAnsi"/>
          <w:i w:val="0"/>
          <w:iCs w:val="0"/>
          <w:color w:val="202020"/>
        </w:rPr>
        <w:t xml:space="preserve"> at high risk of exposure. Where such adults are being vaccinated because they have been demonstrated to</w:t>
      </w:r>
      <w:r w:rsidR="00E973F2" w:rsidRPr="0021104A">
        <w:rPr>
          <w:rStyle w:val="Emphasis"/>
          <w:rFonts w:eastAsia="Times New Roman" w:cstheme="minorHAnsi"/>
          <w:i w:val="0"/>
          <w:iCs w:val="0"/>
          <w:color w:val="202020"/>
        </w:rPr>
        <w:t xml:space="preserve"> </w:t>
      </w:r>
      <w:r w:rsidR="00E973F2" w:rsidRPr="0021104A">
        <w:rPr>
          <w:rStyle w:val="Emphasis"/>
          <w:rFonts w:eastAsia="Times New Roman" w:cstheme="minorHAnsi"/>
          <w:i w:val="0"/>
          <w:iCs w:val="0"/>
          <w:color w:val="202020"/>
        </w:rPr>
        <w:t>be susceptible to measles or rubella, then either two doses should be given or there should be evidence of seroconversion to the relevant antigen.</w:t>
      </w:r>
      <w:r w:rsidR="00E973F2" w:rsidRPr="0021104A">
        <w:rPr>
          <w:rFonts w:cstheme="minorHAnsi"/>
          <w:color w:val="202020"/>
        </w:rPr>
        <w:br/>
      </w:r>
      <w:r w:rsidR="00E973F2" w:rsidRPr="0021104A">
        <w:rPr>
          <w:rStyle w:val="Emphasis"/>
          <w:rFonts w:cstheme="minorHAnsi"/>
          <w:i w:val="0"/>
          <w:iCs w:val="0"/>
          <w:color w:val="202020"/>
        </w:rPr>
        <w:t>Individuals with unknown or incomplete vaccination histories Unless there is a reliable history of appropriate immunisation, individuals should be assumed to be unimmunised. See chapter 11 for more information. Individuals aged 18 months and over who have not received MMR should receive two doses at least one month apart. An individual who has already received one dose of MMR should receive a second dose to ensure that they are protected.</w:t>
      </w:r>
      <w:r w:rsidR="00E973F2" w:rsidRPr="0021104A">
        <w:rPr>
          <w:rFonts w:cstheme="minorHAnsi"/>
          <w:color w:val="202020"/>
        </w:rPr>
        <w:br/>
      </w:r>
      <w:r w:rsidR="00E973F2" w:rsidRPr="0021104A">
        <w:rPr>
          <w:rFonts w:cstheme="minorHAnsi"/>
          <w:color w:val="202020"/>
        </w:rPr>
        <w:br/>
        <w:t>Please read the </w:t>
      </w:r>
      <w:hyperlink r:id="rId12" w:tgtFrame="_blank" w:history="1">
        <w:r w:rsidR="00E973F2" w:rsidRPr="0021104A">
          <w:rPr>
            <w:rStyle w:val="Hyperlink"/>
            <w:rFonts w:cstheme="minorHAnsi"/>
            <w:color w:val="005EB8"/>
          </w:rPr>
          <w:t>full chapter</w:t>
        </w:r>
      </w:hyperlink>
      <w:r w:rsidR="00E973F2" w:rsidRPr="0021104A">
        <w:rPr>
          <w:rFonts w:cstheme="minorHAnsi"/>
          <w:color w:val="202020"/>
        </w:rPr>
        <w:t> for context and guidance.</w:t>
      </w:r>
    </w:p>
    <w:p w14:paraId="41E919C5" w14:textId="77777777" w:rsidR="00091E0F" w:rsidRDefault="00091E0F" w:rsidP="00587D9E">
      <w:pPr>
        <w:spacing w:after="0"/>
        <w:textAlignment w:val="baseline"/>
        <w:rPr>
          <w:rFonts w:cstheme="minorHAnsi"/>
          <w:sz w:val="24"/>
          <w:szCs w:val="24"/>
        </w:rPr>
      </w:pPr>
    </w:p>
    <w:p w14:paraId="740F5BB0" w14:textId="77777777" w:rsidR="004F7E58" w:rsidRDefault="004F7E58" w:rsidP="00587D9E">
      <w:pPr>
        <w:spacing w:after="0"/>
        <w:textAlignment w:val="baseline"/>
        <w:rPr>
          <w:rFonts w:cstheme="minorHAnsi"/>
          <w:sz w:val="24"/>
          <w:szCs w:val="24"/>
        </w:rPr>
      </w:pPr>
    </w:p>
    <w:p w14:paraId="4A63D663" w14:textId="4BAEE25D" w:rsidR="000C0EE6" w:rsidRPr="000C0EE6" w:rsidRDefault="000C0EE6" w:rsidP="000C0EE6">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rFonts w:asciiTheme="minorHAnsi" w:hAnsiTheme="minorHAnsi" w:cstheme="minorHAnsi"/>
          <w:color w:val="030303"/>
          <w:position w:val="17"/>
        </w:rPr>
      </w:pPr>
      <w:bookmarkStart w:id="2" w:name="NO3"/>
      <w:r>
        <w:rPr>
          <w:rStyle w:val="Strong"/>
          <w:rFonts w:asciiTheme="minorHAnsi" w:hAnsiTheme="minorHAnsi" w:cstheme="minorHAnsi"/>
          <w:color w:val="030303"/>
          <w:position w:val="17"/>
        </w:rPr>
        <w:t>3.</w:t>
      </w:r>
      <w:r w:rsidRPr="000C0EE6">
        <w:rPr>
          <w:rStyle w:val="Strong"/>
          <w:rFonts w:asciiTheme="minorHAnsi" w:hAnsiTheme="minorHAnsi" w:cstheme="minorHAnsi"/>
          <w:color w:val="030303"/>
          <w:position w:val="17"/>
        </w:rPr>
        <w:t>Giving patients online access to new GP health record entries</w:t>
      </w:r>
    </w:p>
    <w:bookmarkEnd w:id="2"/>
    <w:p w14:paraId="562839EE" w14:textId="5FE77BD9" w:rsidR="000C0EE6" w:rsidRPr="000C0EE6" w:rsidRDefault="000C0EE6" w:rsidP="000C0EE6">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0C0EE6">
        <w:rPr>
          <w:rFonts w:asciiTheme="minorHAnsi" w:hAnsiTheme="minorHAnsi" w:cstheme="minorHAnsi"/>
          <w:color w:val="030303"/>
          <w:position w:val="17"/>
        </w:rPr>
        <w:fldChar w:fldCharType="begin"/>
      </w:r>
      <w:r w:rsidRPr="000C0EE6">
        <w:rPr>
          <w:rFonts w:asciiTheme="minorHAnsi" w:hAnsiTheme="minorHAnsi" w:cstheme="minorHAnsi"/>
          <w:color w:val="030303"/>
          <w:position w:val="17"/>
        </w:rPr>
        <w:instrText>HYPERLINK "https://primarycarebulletin.cmail20.com/t/d-l-vuizkt-tluhhdhyld-t/"</w:instrText>
      </w:r>
      <w:r w:rsidRPr="000C0EE6">
        <w:rPr>
          <w:rFonts w:asciiTheme="minorHAnsi" w:hAnsiTheme="minorHAnsi" w:cstheme="minorHAnsi"/>
          <w:color w:val="030303"/>
          <w:position w:val="17"/>
        </w:rPr>
      </w:r>
      <w:r w:rsidRPr="000C0EE6">
        <w:rPr>
          <w:rFonts w:asciiTheme="minorHAnsi" w:hAnsiTheme="minorHAnsi" w:cstheme="minorHAnsi"/>
          <w:color w:val="030303"/>
          <w:position w:val="17"/>
        </w:rPr>
        <w:fldChar w:fldCharType="separate"/>
      </w:r>
      <w:r w:rsidRPr="000C0EE6">
        <w:rPr>
          <w:rStyle w:val="Hyperlink"/>
          <w:rFonts w:asciiTheme="minorHAnsi" w:hAnsiTheme="minorHAnsi" w:cstheme="minorHAnsi"/>
          <w:color w:val="005EB8"/>
          <w:position w:val="17"/>
        </w:rPr>
        <w:t>Practices are required to give all patients online access to their new health record entries</w:t>
      </w:r>
      <w:r w:rsidRPr="000C0EE6">
        <w:rPr>
          <w:rFonts w:asciiTheme="minorHAnsi" w:hAnsiTheme="minorHAnsi" w:cstheme="minorHAnsi"/>
          <w:color w:val="030303"/>
          <w:position w:val="17"/>
        </w:rPr>
        <w:fldChar w:fldCharType="end"/>
      </w:r>
      <w:r w:rsidRPr="000C0EE6">
        <w:rPr>
          <w:rFonts w:asciiTheme="minorHAnsi" w:hAnsiTheme="minorHAnsi" w:cstheme="minorHAnsi"/>
          <w:color w:val="030303"/>
          <w:position w:val="17"/>
        </w:rPr>
        <w:t xml:space="preserve">, with 82% of practices now providing full online prospective record access by default. EMIS practices that have not bulk enabled their patients will need to manually enable individual patients in order to meet contractual obligations - </w:t>
      </w:r>
      <w:hyperlink r:id="rId13" w:history="1">
        <w:r w:rsidRPr="000C0EE6">
          <w:rPr>
            <w:rStyle w:val="Hyperlink"/>
            <w:rFonts w:asciiTheme="minorHAnsi" w:hAnsiTheme="minorHAnsi" w:cstheme="minorHAnsi"/>
            <w:color w:val="005EB8"/>
            <w:position w:val="17"/>
          </w:rPr>
          <w:t>guidance is available on how to do this</w:t>
        </w:r>
      </w:hyperlink>
      <w:r w:rsidRPr="000C0EE6">
        <w:rPr>
          <w:rFonts w:asciiTheme="minorHAnsi" w:hAnsiTheme="minorHAnsi" w:cstheme="minorHAnsi"/>
          <w:color w:val="030303"/>
          <w:position w:val="17"/>
        </w:rPr>
        <w:t>. There is also </w:t>
      </w:r>
      <w:hyperlink r:id="rId14" w:history="1">
        <w:r w:rsidRPr="000C0EE6">
          <w:rPr>
            <w:rStyle w:val="Hyperlink"/>
            <w:rFonts w:asciiTheme="minorHAnsi" w:hAnsiTheme="minorHAnsi" w:cstheme="minorHAnsi"/>
            <w:color w:val="005EB8"/>
            <w:position w:val="17"/>
          </w:rPr>
          <w:t>guidance for TPP practices on self-enabling access</w:t>
        </w:r>
      </w:hyperlink>
      <w:r>
        <w:rPr>
          <w:rFonts w:asciiTheme="minorHAnsi" w:hAnsiTheme="minorHAnsi" w:cstheme="minorHAnsi"/>
          <w:color w:val="030303"/>
          <w:position w:val="17"/>
        </w:rPr>
        <w:t>.</w:t>
      </w:r>
    </w:p>
    <w:p w14:paraId="40C71A75" w14:textId="77777777" w:rsidR="00091E0F" w:rsidRDefault="00091E0F" w:rsidP="00587D9E">
      <w:pPr>
        <w:spacing w:after="0"/>
        <w:textAlignment w:val="baseline"/>
        <w:rPr>
          <w:rFonts w:cstheme="minorHAnsi"/>
          <w:sz w:val="24"/>
          <w:szCs w:val="24"/>
        </w:rPr>
      </w:pPr>
    </w:p>
    <w:p w14:paraId="6513C823" w14:textId="77777777" w:rsidR="00091E0F" w:rsidRDefault="00091E0F" w:rsidP="00587D9E">
      <w:pPr>
        <w:spacing w:after="0"/>
        <w:textAlignment w:val="baseline"/>
        <w:rPr>
          <w:rFonts w:cstheme="minorHAnsi"/>
          <w:sz w:val="24"/>
          <w:szCs w:val="24"/>
        </w:rPr>
      </w:pPr>
    </w:p>
    <w:p w14:paraId="3AA308C0" w14:textId="0B0E835B" w:rsidR="00B54604" w:rsidRPr="00B54604" w:rsidRDefault="00B54604" w:rsidP="00B54604">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3" w:name="NO4"/>
      <w:r w:rsidRPr="00B54604">
        <w:rPr>
          <w:rStyle w:val="Strong"/>
          <w:rFonts w:asciiTheme="minorHAnsi" w:hAnsiTheme="minorHAnsi" w:cstheme="minorHAnsi"/>
          <w:color w:val="030303"/>
          <w:position w:val="17"/>
        </w:rPr>
        <w:t>4.</w:t>
      </w:r>
      <w:r w:rsidRPr="00B54604">
        <w:rPr>
          <w:rStyle w:val="Strong"/>
          <w:rFonts w:asciiTheme="minorHAnsi" w:hAnsiTheme="minorHAnsi" w:cstheme="minorHAnsi"/>
          <w:color w:val="030303"/>
          <w:position w:val="17"/>
        </w:rPr>
        <w:t>Measles, Mumps, Rubella (MMR) National call/recall Advance Notice</w:t>
      </w:r>
    </w:p>
    <w:bookmarkEnd w:id="3"/>
    <w:p w14:paraId="1B937ADB" w14:textId="77777777" w:rsidR="00B54604" w:rsidRPr="00B54604" w:rsidRDefault="00B54604" w:rsidP="00B54604">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B54604">
        <w:rPr>
          <w:rFonts w:asciiTheme="minorHAnsi" w:hAnsiTheme="minorHAnsi" w:cstheme="minorHAnsi"/>
          <w:color w:val="030303"/>
          <w:position w:val="17"/>
        </w:rPr>
        <w:t>Practices are advised that the national MMR call/recall to support the 2023/24 vaccination and immunisation campaign will be taking place throughout February and March 2024. The national MMR vaccination reminders will be sent to the parents/guardians of children aged 6-11 years who require one or two doses of the vaccine. </w:t>
      </w:r>
    </w:p>
    <w:p w14:paraId="03DCD384" w14:textId="77777777" w:rsidR="00B54604" w:rsidRPr="00B54604" w:rsidRDefault="00B54604" w:rsidP="00B54604">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B54604">
        <w:rPr>
          <w:rFonts w:asciiTheme="minorHAnsi" w:hAnsiTheme="minorHAnsi" w:cstheme="minorHAnsi"/>
          <w:color w:val="030303"/>
          <w:position w:val="17"/>
        </w:rPr>
        <w:t>In London and some parts of the Midlands, where the risk of measles outbreaks is currently high, NHS England plans to extend the target age cohorts so that children and young adults aged 6-25 years will receive MMR vaccination reminders.</w:t>
      </w:r>
    </w:p>
    <w:p w14:paraId="5442E4B7" w14:textId="6468245C" w:rsidR="00091E0F" w:rsidRPr="00B54604" w:rsidRDefault="00B54604" w:rsidP="00B5460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sz w:val="28"/>
          <w:szCs w:val="28"/>
        </w:rPr>
      </w:pPr>
      <w:r w:rsidRPr="00B54604">
        <w:rPr>
          <w:rFonts w:cstheme="minorHAnsi"/>
          <w:color w:val="030303"/>
          <w:position w:val="17"/>
        </w:rPr>
        <w:t xml:space="preserve">Practices should prepare to receive enquiries from their registered patients during February and March 2024 who have received a national MMR vaccination reminder, and should check immunisation records, book, and administer vaccination, if clinically appropriate. </w:t>
      </w:r>
      <w:hyperlink r:id="rId15" w:history="1">
        <w:r w:rsidRPr="00B54604">
          <w:rPr>
            <w:rStyle w:val="Hyperlink"/>
            <w:rFonts w:cstheme="minorHAnsi"/>
            <w:color w:val="005EB8"/>
            <w:position w:val="17"/>
          </w:rPr>
          <w:t>Further information on the practice role in support of national MMR call and recall is available in Annex A here</w:t>
        </w:r>
      </w:hyperlink>
      <w:r>
        <w:rPr>
          <w:rFonts w:cstheme="minorHAnsi"/>
          <w:color w:val="030303"/>
          <w:position w:val="17"/>
        </w:rPr>
        <w:t>.</w:t>
      </w:r>
    </w:p>
    <w:p w14:paraId="1A258B65" w14:textId="77777777" w:rsidR="00091E0F" w:rsidRDefault="00091E0F" w:rsidP="00587D9E">
      <w:pPr>
        <w:spacing w:after="0"/>
        <w:textAlignment w:val="baseline"/>
        <w:rPr>
          <w:rFonts w:cstheme="minorHAnsi"/>
          <w:sz w:val="24"/>
          <w:szCs w:val="24"/>
        </w:rPr>
      </w:pPr>
    </w:p>
    <w:p w14:paraId="0B99D273" w14:textId="77777777" w:rsidR="00091E0F" w:rsidRDefault="00091E0F" w:rsidP="00587D9E">
      <w:pPr>
        <w:spacing w:after="0"/>
        <w:textAlignment w:val="baseline"/>
        <w:rPr>
          <w:rFonts w:cstheme="minorHAnsi"/>
          <w:sz w:val="24"/>
          <w:szCs w:val="24"/>
        </w:rPr>
      </w:pPr>
    </w:p>
    <w:p w14:paraId="24D6B2A6" w14:textId="77777777" w:rsidR="00AE5D82" w:rsidRDefault="00AE5D82" w:rsidP="00AE5D82">
      <w:pPr>
        <w:pStyle w:val="NormalWeb"/>
        <w:spacing w:before="300" w:beforeAutospacing="0" w:after="0" w:afterAutospacing="0" w:line="315" w:lineRule="atLeast"/>
        <w:textAlignment w:val="center"/>
        <w:rPr>
          <w:rStyle w:val="Strong"/>
          <w:rFonts w:ascii="inherit" w:hAnsi="inherit"/>
          <w:color w:val="030303"/>
          <w:position w:val="17"/>
          <w:sz w:val="20"/>
          <w:szCs w:val="20"/>
          <w:highlight w:val="yellow"/>
        </w:rPr>
      </w:pPr>
    </w:p>
    <w:p w14:paraId="491A6242" w14:textId="77777777" w:rsidR="00AE5D82" w:rsidRDefault="00AE5D82" w:rsidP="00AE5D82">
      <w:pPr>
        <w:pStyle w:val="NormalWeb"/>
        <w:spacing w:before="300" w:beforeAutospacing="0" w:after="0" w:afterAutospacing="0" w:line="315" w:lineRule="atLeast"/>
        <w:textAlignment w:val="center"/>
        <w:rPr>
          <w:rStyle w:val="Strong"/>
          <w:rFonts w:ascii="inherit" w:hAnsi="inherit"/>
          <w:color w:val="030303"/>
          <w:position w:val="17"/>
          <w:sz w:val="20"/>
          <w:szCs w:val="20"/>
          <w:highlight w:val="yellow"/>
        </w:rPr>
      </w:pPr>
    </w:p>
    <w:p w14:paraId="4F740B45" w14:textId="77777777" w:rsidR="00AE5D82" w:rsidRDefault="00AE5D82" w:rsidP="00AE5D82">
      <w:pPr>
        <w:pStyle w:val="NormalWeb"/>
        <w:spacing w:before="300" w:beforeAutospacing="0" w:after="0" w:afterAutospacing="0" w:line="315" w:lineRule="atLeast"/>
        <w:textAlignment w:val="center"/>
        <w:rPr>
          <w:rStyle w:val="Strong"/>
          <w:rFonts w:ascii="inherit" w:hAnsi="inherit"/>
          <w:color w:val="030303"/>
          <w:position w:val="17"/>
          <w:sz w:val="20"/>
          <w:szCs w:val="20"/>
          <w:highlight w:val="yellow"/>
        </w:rPr>
      </w:pPr>
    </w:p>
    <w:p w14:paraId="29EE86D0" w14:textId="77777777" w:rsidR="00AE5D82" w:rsidRDefault="00AE5D82" w:rsidP="00AE5D82">
      <w:pPr>
        <w:pStyle w:val="NormalWeb"/>
        <w:spacing w:before="300" w:beforeAutospacing="0" w:after="0" w:afterAutospacing="0" w:line="315" w:lineRule="atLeast"/>
        <w:textAlignment w:val="center"/>
        <w:rPr>
          <w:rStyle w:val="Strong"/>
          <w:rFonts w:ascii="inherit" w:hAnsi="inherit"/>
          <w:color w:val="030303"/>
          <w:position w:val="17"/>
          <w:sz w:val="20"/>
          <w:szCs w:val="20"/>
          <w:highlight w:val="yellow"/>
        </w:rPr>
      </w:pPr>
    </w:p>
    <w:p w14:paraId="7FEB20A8" w14:textId="77777777" w:rsidR="00AE5D82" w:rsidRDefault="00AE5D82" w:rsidP="00AE5D82">
      <w:pPr>
        <w:pStyle w:val="NormalWeb"/>
        <w:spacing w:before="300" w:beforeAutospacing="0" w:after="0" w:afterAutospacing="0" w:line="315" w:lineRule="atLeast"/>
        <w:textAlignment w:val="center"/>
        <w:rPr>
          <w:rStyle w:val="Strong"/>
          <w:rFonts w:ascii="inherit" w:hAnsi="inherit"/>
          <w:color w:val="030303"/>
          <w:position w:val="17"/>
          <w:sz w:val="20"/>
          <w:szCs w:val="20"/>
          <w:highlight w:val="yellow"/>
        </w:rPr>
      </w:pPr>
    </w:p>
    <w:p w14:paraId="0B28AE2A" w14:textId="77777777" w:rsidR="00AE5D82" w:rsidRDefault="00AE5D82" w:rsidP="00AE5D82">
      <w:pPr>
        <w:pStyle w:val="NormalWeb"/>
        <w:spacing w:before="300" w:beforeAutospacing="0" w:after="0" w:afterAutospacing="0" w:line="315" w:lineRule="atLeast"/>
        <w:textAlignment w:val="center"/>
        <w:rPr>
          <w:rStyle w:val="Strong"/>
          <w:rFonts w:ascii="inherit" w:hAnsi="inherit"/>
          <w:color w:val="030303"/>
          <w:position w:val="17"/>
          <w:sz w:val="20"/>
          <w:szCs w:val="20"/>
          <w:highlight w:val="yellow"/>
        </w:rPr>
      </w:pPr>
    </w:p>
    <w:p w14:paraId="30B2EF09" w14:textId="77777777" w:rsidR="004F7E58" w:rsidRDefault="004F7E58" w:rsidP="00AE5D82">
      <w:pPr>
        <w:pStyle w:val="NormalWeb"/>
        <w:spacing w:before="300" w:beforeAutospacing="0" w:after="0" w:afterAutospacing="0" w:line="315" w:lineRule="atLeast"/>
        <w:textAlignment w:val="center"/>
        <w:rPr>
          <w:rStyle w:val="Strong"/>
          <w:rFonts w:ascii="inherit" w:hAnsi="inherit"/>
          <w:color w:val="030303"/>
          <w:position w:val="17"/>
          <w:sz w:val="20"/>
          <w:szCs w:val="20"/>
          <w:highlight w:val="yellow"/>
        </w:rPr>
      </w:pPr>
    </w:p>
    <w:p w14:paraId="0EC0D860" w14:textId="61A550E5" w:rsidR="00AE5D82" w:rsidRPr="00AE5D82" w:rsidRDefault="00AE5D82" w:rsidP="00AE5D82">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4" w:name="NO5"/>
      <w:r w:rsidRPr="00AE5D82">
        <w:rPr>
          <w:rStyle w:val="Strong"/>
          <w:rFonts w:asciiTheme="minorHAnsi" w:hAnsiTheme="minorHAnsi" w:cstheme="minorHAnsi"/>
          <w:color w:val="030303"/>
          <w:position w:val="17"/>
        </w:rPr>
        <w:t>5.</w:t>
      </w:r>
      <w:r w:rsidRPr="00AE5D82">
        <w:rPr>
          <w:rStyle w:val="Strong"/>
          <w:rFonts w:asciiTheme="minorHAnsi" w:hAnsiTheme="minorHAnsi" w:cstheme="minorHAnsi"/>
          <w:color w:val="030303"/>
          <w:position w:val="17"/>
        </w:rPr>
        <w:t>New National Patient Safety Alert for GLP-1 receptor antagonists (GLP-1 RAS) for the treatment of type 2 diabetes</w:t>
      </w:r>
    </w:p>
    <w:bookmarkEnd w:id="4"/>
    <w:p w14:paraId="17398211" w14:textId="77777777" w:rsidR="00AE5D82" w:rsidRPr="00AE5D82" w:rsidRDefault="00AE5D82" w:rsidP="00AE5D82">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AE5D82">
        <w:rPr>
          <w:rFonts w:asciiTheme="minorHAnsi" w:hAnsiTheme="minorHAnsi" w:cstheme="minorHAnsi"/>
          <w:color w:val="030303"/>
          <w:position w:val="17"/>
        </w:rPr>
        <w:t xml:space="preserve">A new </w:t>
      </w:r>
      <w:hyperlink r:id="rId16" w:history="1">
        <w:r w:rsidRPr="00AE5D82">
          <w:rPr>
            <w:rStyle w:val="Hyperlink"/>
            <w:rFonts w:asciiTheme="minorHAnsi" w:hAnsiTheme="minorHAnsi" w:cstheme="minorHAnsi"/>
            <w:color w:val="005EB8"/>
            <w:position w:val="17"/>
          </w:rPr>
          <w:t>National Patient Safety Alert has been issued relating to the supply issues being experienced within GLP-1 RA treatments</w:t>
        </w:r>
      </w:hyperlink>
      <w:r w:rsidRPr="00AE5D82">
        <w:rPr>
          <w:rFonts w:asciiTheme="minorHAnsi" w:hAnsiTheme="minorHAnsi" w:cstheme="minorHAnsi"/>
          <w:color w:val="030303"/>
          <w:position w:val="17"/>
        </w:rPr>
        <w:t>. This supersedes the previous patient safety alert.</w:t>
      </w:r>
    </w:p>
    <w:p w14:paraId="4131B96C" w14:textId="143F7994" w:rsidR="00091E0F" w:rsidRPr="00AE5D82" w:rsidRDefault="00AE5D82" w:rsidP="00AE5D8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sz w:val="28"/>
          <w:szCs w:val="28"/>
        </w:rPr>
      </w:pPr>
      <w:r w:rsidRPr="00AE5D82">
        <w:rPr>
          <w:rFonts w:cstheme="minorHAnsi"/>
          <w:color w:val="030303"/>
          <w:position w:val="17"/>
        </w:rPr>
        <w:t xml:space="preserve">The new alert reflects an increase in supply of </w:t>
      </w:r>
      <w:proofErr w:type="spellStart"/>
      <w:r w:rsidRPr="00AE5D82">
        <w:rPr>
          <w:rFonts w:cstheme="minorHAnsi"/>
          <w:color w:val="030303"/>
          <w:position w:val="17"/>
        </w:rPr>
        <w:t>Rybelsus</w:t>
      </w:r>
      <w:proofErr w:type="spellEnd"/>
      <w:r w:rsidRPr="00AE5D82">
        <w:rPr>
          <w:rFonts w:cstheme="minorHAnsi"/>
          <w:color w:val="030303"/>
          <w:position w:val="17"/>
        </w:rPr>
        <w:t xml:space="preserve">® tablets (oral </w:t>
      </w:r>
      <w:proofErr w:type="spellStart"/>
      <w:r w:rsidRPr="00AE5D82">
        <w:rPr>
          <w:rFonts w:cstheme="minorHAnsi"/>
          <w:color w:val="030303"/>
          <w:position w:val="17"/>
        </w:rPr>
        <w:t>semaglutide</w:t>
      </w:r>
      <w:proofErr w:type="spellEnd"/>
      <w:r w:rsidRPr="00AE5D82">
        <w:rPr>
          <w:rFonts w:cstheme="minorHAnsi"/>
          <w:color w:val="030303"/>
          <w:position w:val="17"/>
        </w:rPr>
        <w:t xml:space="preserve">), which is now sufficient to allow for new initiations of this medicine for people with type 2 diabetes in whom a GLP-1 RA is clinically appropriate. Please note there are new actions to be completed, including the review of people currently prescribed Byetta® and Victoza® who, due to product discontinuation and stock issues respectively, should be switched to </w:t>
      </w:r>
      <w:proofErr w:type="spellStart"/>
      <w:r w:rsidRPr="00AE5D82">
        <w:rPr>
          <w:rFonts w:cstheme="minorHAnsi"/>
          <w:color w:val="030303"/>
          <w:position w:val="17"/>
        </w:rPr>
        <w:t>Rybelsus</w:t>
      </w:r>
      <w:proofErr w:type="spellEnd"/>
      <w:r w:rsidRPr="00AE5D82">
        <w:rPr>
          <w:rFonts w:cstheme="minorHAnsi"/>
          <w:color w:val="030303"/>
          <w:position w:val="17"/>
        </w:rPr>
        <w:t>®.</w:t>
      </w:r>
    </w:p>
    <w:p w14:paraId="2BE17F7C" w14:textId="77777777" w:rsidR="00091E0F" w:rsidRDefault="00091E0F" w:rsidP="00587D9E">
      <w:pPr>
        <w:spacing w:after="0"/>
        <w:textAlignment w:val="baseline"/>
        <w:rPr>
          <w:rFonts w:cstheme="minorHAnsi"/>
          <w:sz w:val="24"/>
          <w:szCs w:val="24"/>
        </w:rPr>
      </w:pPr>
    </w:p>
    <w:p w14:paraId="4B28B7E7" w14:textId="77777777" w:rsidR="00091E0F" w:rsidRPr="00587D9E" w:rsidRDefault="00091E0F" w:rsidP="00587D9E">
      <w:pPr>
        <w:spacing w:after="0"/>
        <w:textAlignment w:val="baseline"/>
        <w:rPr>
          <w:rFonts w:cstheme="minorHAnsi"/>
          <w:sz w:val="24"/>
          <w:szCs w:val="24"/>
        </w:rPr>
      </w:pPr>
    </w:p>
    <w:p w14:paraId="13A9763D" w14:textId="7AE2CE27" w:rsidR="00D9300D" w:rsidRPr="00B96EA0" w:rsidRDefault="007241A2" w:rsidP="00B96EA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17"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436DB60A" w14:textId="77777777" w:rsidR="00FD5701" w:rsidRDefault="00FD5701" w:rsidP="007241A2">
      <w:pPr>
        <w:rPr>
          <w:b/>
          <w:bCs/>
          <w:color w:val="FF0000"/>
        </w:rPr>
      </w:pPr>
    </w:p>
    <w:p w14:paraId="0B8C08EB" w14:textId="03B8357A" w:rsidR="00A63AE2" w:rsidRDefault="007241A2" w:rsidP="009D13D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7D420F80" w14:textId="77777777" w:rsidR="00A63AE2" w:rsidRDefault="00A63AE2"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18"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19"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0"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143BA3">
      <w:headerReference w:type="default" r:id="rId21"/>
      <w:footerReference w:type="default" r:id="rId22"/>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4026E" w14:textId="77777777" w:rsidR="00143BA3" w:rsidRDefault="00143BA3" w:rsidP="001B4E81">
      <w:pPr>
        <w:spacing w:after="0" w:line="240" w:lineRule="auto"/>
      </w:pPr>
      <w:r>
        <w:separator/>
      </w:r>
    </w:p>
  </w:endnote>
  <w:endnote w:type="continuationSeparator" w:id="0">
    <w:p w14:paraId="2D051617" w14:textId="77777777" w:rsidR="00143BA3" w:rsidRDefault="00143BA3" w:rsidP="001B4E81">
      <w:pPr>
        <w:spacing w:after="0" w:line="240" w:lineRule="auto"/>
      </w:pPr>
      <w:r>
        <w:continuationSeparator/>
      </w:r>
    </w:p>
  </w:endnote>
  <w:endnote w:type="continuationNotice" w:id="1">
    <w:p w14:paraId="5CE94FD7" w14:textId="77777777" w:rsidR="00143BA3" w:rsidRDefault="00143B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38252" w14:textId="77777777" w:rsidR="00143BA3" w:rsidRDefault="00143BA3" w:rsidP="001B4E81">
      <w:pPr>
        <w:spacing w:after="0" w:line="240" w:lineRule="auto"/>
      </w:pPr>
      <w:r>
        <w:separator/>
      </w:r>
    </w:p>
  </w:footnote>
  <w:footnote w:type="continuationSeparator" w:id="0">
    <w:p w14:paraId="28701E99" w14:textId="77777777" w:rsidR="00143BA3" w:rsidRDefault="00143BA3" w:rsidP="001B4E81">
      <w:pPr>
        <w:spacing w:after="0" w:line="240" w:lineRule="auto"/>
      </w:pPr>
      <w:r>
        <w:continuationSeparator/>
      </w:r>
    </w:p>
  </w:footnote>
  <w:footnote w:type="continuationNotice" w:id="1">
    <w:p w14:paraId="2B810030" w14:textId="77777777" w:rsidR="00143BA3" w:rsidRDefault="00143B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1754646084" name="Picture 1754646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89269101">
    <w:abstractNumId w:val="1"/>
    <w:lvlOverride w:ilvl="0"/>
    <w:lvlOverride w:ilvl="1"/>
    <w:lvlOverride w:ilvl="2"/>
    <w:lvlOverride w:ilvl="3"/>
    <w:lvlOverride w:ilvl="4"/>
    <w:lvlOverride w:ilvl="5"/>
    <w:lvlOverride w:ilvl="6"/>
    <w:lvlOverride w:ilvl="7"/>
    <w:lvlOverride w:ilvl="8"/>
  </w:num>
  <w:num w:numId="2" w16cid:durableId="17876256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2154"/>
    <w:rsid w:val="00002876"/>
    <w:rsid w:val="00003B69"/>
    <w:rsid w:val="000048D1"/>
    <w:rsid w:val="0000555A"/>
    <w:rsid w:val="00005835"/>
    <w:rsid w:val="00007360"/>
    <w:rsid w:val="000076D4"/>
    <w:rsid w:val="00010C70"/>
    <w:rsid w:val="00012727"/>
    <w:rsid w:val="00013860"/>
    <w:rsid w:val="0001405D"/>
    <w:rsid w:val="0001625E"/>
    <w:rsid w:val="000167D0"/>
    <w:rsid w:val="00016A08"/>
    <w:rsid w:val="00016A18"/>
    <w:rsid w:val="00016C94"/>
    <w:rsid w:val="000174D8"/>
    <w:rsid w:val="00020F51"/>
    <w:rsid w:val="00022882"/>
    <w:rsid w:val="000228D1"/>
    <w:rsid w:val="000230CD"/>
    <w:rsid w:val="000231F0"/>
    <w:rsid w:val="00023444"/>
    <w:rsid w:val="0002433E"/>
    <w:rsid w:val="00024D7A"/>
    <w:rsid w:val="00025717"/>
    <w:rsid w:val="00026062"/>
    <w:rsid w:val="00027D7F"/>
    <w:rsid w:val="00027FFD"/>
    <w:rsid w:val="000306B5"/>
    <w:rsid w:val="00034045"/>
    <w:rsid w:val="00034B8D"/>
    <w:rsid w:val="00036883"/>
    <w:rsid w:val="00037558"/>
    <w:rsid w:val="0004055C"/>
    <w:rsid w:val="000451F4"/>
    <w:rsid w:val="0004647D"/>
    <w:rsid w:val="000525F3"/>
    <w:rsid w:val="000544FA"/>
    <w:rsid w:val="00054E0E"/>
    <w:rsid w:val="000555BD"/>
    <w:rsid w:val="000555EB"/>
    <w:rsid w:val="0005656A"/>
    <w:rsid w:val="0006102E"/>
    <w:rsid w:val="00066C02"/>
    <w:rsid w:val="00067C2A"/>
    <w:rsid w:val="00067D09"/>
    <w:rsid w:val="000713FA"/>
    <w:rsid w:val="00071773"/>
    <w:rsid w:val="00071C2D"/>
    <w:rsid w:val="00072D34"/>
    <w:rsid w:val="00072ED0"/>
    <w:rsid w:val="0007398E"/>
    <w:rsid w:val="00073FBC"/>
    <w:rsid w:val="00075F17"/>
    <w:rsid w:val="00076E27"/>
    <w:rsid w:val="00081413"/>
    <w:rsid w:val="00081BFA"/>
    <w:rsid w:val="00082950"/>
    <w:rsid w:val="00082F9E"/>
    <w:rsid w:val="00085477"/>
    <w:rsid w:val="0009084C"/>
    <w:rsid w:val="00091E0F"/>
    <w:rsid w:val="00093F94"/>
    <w:rsid w:val="0009540A"/>
    <w:rsid w:val="00095426"/>
    <w:rsid w:val="000A058D"/>
    <w:rsid w:val="000A0E4D"/>
    <w:rsid w:val="000A2B44"/>
    <w:rsid w:val="000A316D"/>
    <w:rsid w:val="000A4A05"/>
    <w:rsid w:val="000B0ADA"/>
    <w:rsid w:val="000B101E"/>
    <w:rsid w:val="000B23F1"/>
    <w:rsid w:val="000B4B0A"/>
    <w:rsid w:val="000B5578"/>
    <w:rsid w:val="000B640A"/>
    <w:rsid w:val="000B7912"/>
    <w:rsid w:val="000C045A"/>
    <w:rsid w:val="000C0EE6"/>
    <w:rsid w:val="000C282E"/>
    <w:rsid w:val="000C2FD6"/>
    <w:rsid w:val="000C3979"/>
    <w:rsid w:val="000D4CCB"/>
    <w:rsid w:val="000D64D6"/>
    <w:rsid w:val="000E1906"/>
    <w:rsid w:val="000E389E"/>
    <w:rsid w:val="000E4A3E"/>
    <w:rsid w:val="000E4EBA"/>
    <w:rsid w:val="000E5E4F"/>
    <w:rsid w:val="000E6DF4"/>
    <w:rsid w:val="000E799D"/>
    <w:rsid w:val="000F0353"/>
    <w:rsid w:val="000F04EC"/>
    <w:rsid w:val="000F09E4"/>
    <w:rsid w:val="000F200D"/>
    <w:rsid w:val="000F2BE9"/>
    <w:rsid w:val="000F41F3"/>
    <w:rsid w:val="000F48CE"/>
    <w:rsid w:val="000F5568"/>
    <w:rsid w:val="001003AD"/>
    <w:rsid w:val="001028EF"/>
    <w:rsid w:val="00102F12"/>
    <w:rsid w:val="00104E1A"/>
    <w:rsid w:val="00105E1A"/>
    <w:rsid w:val="00110284"/>
    <w:rsid w:val="0011033F"/>
    <w:rsid w:val="001104FE"/>
    <w:rsid w:val="00110C7A"/>
    <w:rsid w:val="00111B5D"/>
    <w:rsid w:val="00112F94"/>
    <w:rsid w:val="00113054"/>
    <w:rsid w:val="00113C51"/>
    <w:rsid w:val="001149AA"/>
    <w:rsid w:val="00114E8B"/>
    <w:rsid w:val="00115AFB"/>
    <w:rsid w:val="00115F19"/>
    <w:rsid w:val="00116519"/>
    <w:rsid w:val="0011791A"/>
    <w:rsid w:val="00120C00"/>
    <w:rsid w:val="00122EBE"/>
    <w:rsid w:val="00124066"/>
    <w:rsid w:val="0012701E"/>
    <w:rsid w:val="00130DF4"/>
    <w:rsid w:val="00130F5A"/>
    <w:rsid w:val="001311BD"/>
    <w:rsid w:val="00133C16"/>
    <w:rsid w:val="00135168"/>
    <w:rsid w:val="001369A8"/>
    <w:rsid w:val="00140748"/>
    <w:rsid w:val="00140889"/>
    <w:rsid w:val="00141617"/>
    <w:rsid w:val="00141888"/>
    <w:rsid w:val="001418F6"/>
    <w:rsid w:val="00142AC6"/>
    <w:rsid w:val="001435E6"/>
    <w:rsid w:val="00143BA3"/>
    <w:rsid w:val="00143E19"/>
    <w:rsid w:val="001476EC"/>
    <w:rsid w:val="00147771"/>
    <w:rsid w:val="00151790"/>
    <w:rsid w:val="00154CE6"/>
    <w:rsid w:val="00155352"/>
    <w:rsid w:val="00156BB8"/>
    <w:rsid w:val="00156F30"/>
    <w:rsid w:val="00157E7A"/>
    <w:rsid w:val="001619DB"/>
    <w:rsid w:val="00161E55"/>
    <w:rsid w:val="001621A5"/>
    <w:rsid w:val="00163A29"/>
    <w:rsid w:val="001658F2"/>
    <w:rsid w:val="001661D5"/>
    <w:rsid w:val="00166A30"/>
    <w:rsid w:val="00166A90"/>
    <w:rsid w:val="00167A8B"/>
    <w:rsid w:val="00170538"/>
    <w:rsid w:val="00170C2F"/>
    <w:rsid w:val="00171816"/>
    <w:rsid w:val="00174174"/>
    <w:rsid w:val="0017541B"/>
    <w:rsid w:val="00175B1F"/>
    <w:rsid w:val="00176F8C"/>
    <w:rsid w:val="00177616"/>
    <w:rsid w:val="00177EAB"/>
    <w:rsid w:val="001813EA"/>
    <w:rsid w:val="00181D32"/>
    <w:rsid w:val="001823AF"/>
    <w:rsid w:val="00182DEB"/>
    <w:rsid w:val="00184CCA"/>
    <w:rsid w:val="001855AC"/>
    <w:rsid w:val="00185F7F"/>
    <w:rsid w:val="00187528"/>
    <w:rsid w:val="0019024B"/>
    <w:rsid w:val="0019091C"/>
    <w:rsid w:val="00193F3D"/>
    <w:rsid w:val="00196742"/>
    <w:rsid w:val="001969AE"/>
    <w:rsid w:val="001A1432"/>
    <w:rsid w:val="001A20BA"/>
    <w:rsid w:val="001A2EDA"/>
    <w:rsid w:val="001A3889"/>
    <w:rsid w:val="001A5DEE"/>
    <w:rsid w:val="001A6971"/>
    <w:rsid w:val="001A6D64"/>
    <w:rsid w:val="001A7E3C"/>
    <w:rsid w:val="001B17A2"/>
    <w:rsid w:val="001B21B8"/>
    <w:rsid w:val="001B25FF"/>
    <w:rsid w:val="001B4E81"/>
    <w:rsid w:val="001B54AA"/>
    <w:rsid w:val="001B5732"/>
    <w:rsid w:val="001B6600"/>
    <w:rsid w:val="001C01B0"/>
    <w:rsid w:val="001C1DE2"/>
    <w:rsid w:val="001C2AA4"/>
    <w:rsid w:val="001C595F"/>
    <w:rsid w:val="001D28C7"/>
    <w:rsid w:val="001D6F34"/>
    <w:rsid w:val="001E2D99"/>
    <w:rsid w:val="001E3845"/>
    <w:rsid w:val="001E764F"/>
    <w:rsid w:val="001F424B"/>
    <w:rsid w:val="001F50DA"/>
    <w:rsid w:val="001F5C20"/>
    <w:rsid w:val="002043E5"/>
    <w:rsid w:val="00204541"/>
    <w:rsid w:val="00204C60"/>
    <w:rsid w:val="002056A8"/>
    <w:rsid w:val="00206248"/>
    <w:rsid w:val="002066D4"/>
    <w:rsid w:val="0021104A"/>
    <w:rsid w:val="002129D4"/>
    <w:rsid w:val="002144C2"/>
    <w:rsid w:val="00215B61"/>
    <w:rsid w:val="00215BAF"/>
    <w:rsid w:val="00216841"/>
    <w:rsid w:val="00216DBF"/>
    <w:rsid w:val="00223004"/>
    <w:rsid w:val="002244D3"/>
    <w:rsid w:val="00224AD9"/>
    <w:rsid w:val="00225552"/>
    <w:rsid w:val="002266D1"/>
    <w:rsid w:val="00226BE1"/>
    <w:rsid w:val="002275B5"/>
    <w:rsid w:val="002310C5"/>
    <w:rsid w:val="002312FA"/>
    <w:rsid w:val="002313DF"/>
    <w:rsid w:val="0023242C"/>
    <w:rsid w:val="00232556"/>
    <w:rsid w:val="00233D28"/>
    <w:rsid w:val="00234234"/>
    <w:rsid w:val="0023649C"/>
    <w:rsid w:val="00236873"/>
    <w:rsid w:val="00237B73"/>
    <w:rsid w:val="00242128"/>
    <w:rsid w:val="002448D3"/>
    <w:rsid w:val="00244E6F"/>
    <w:rsid w:val="0024557E"/>
    <w:rsid w:val="002464BC"/>
    <w:rsid w:val="00247056"/>
    <w:rsid w:val="00247C64"/>
    <w:rsid w:val="0025093F"/>
    <w:rsid w:val="00251063"/>
    <w:rsid w:val="00252531"/>
    <w:rsid w:val="00252B77"/>
    <w:rsid w:val="00254090"/>
    <w:rsid w:val="00254DB4"/>
    <w:rsid w:val="002559F1"/>
    <w:rsid w:val="00255D6B"/>
    <w:rsid w:val="00257079"/>
    <w:rsid w:val="00257A56"/>
    <w:rsid w:val="0026099E"/>
    <w:rsid w:val="002611C2"/>
    <w:rsid w:val="00261FD7"/>
    <w:rsid w:val="00264197"/>
    <w:rsid w:val="002667F4"/>
    <w:rsid w:val="00267854"/>
    <w:rsid w:val="0027009C"/>
    <w:rsid w:val="0027171A"/>
    <w:rsid w:val="00272881"/>
    <w:rsid w:val="00276D77"/>
    <w:rsid w:val="002774BF"/>
    <w:rsid w:val="00280C3C"/>
    <w:rsid w:val="0028162E"/>
    <w:rsid w:val="002819FA"/>
    <w:rsid w:val="00281DDA"/>
    <w:rsid w:val="002841EF"/>
    <w:rsid w:val="0028451B"/>
    <w:rsid w:val="00284C03"/>
    <w:rsid w:val="00293206"/>
    <w:rsid w:val="00294FD3"/>
    <w:rsid w:val="00295790"/>
    <w:rsid w:val="00295A67"/>
    <w:rsid w:val="0029684B"/>
    <w:rsid w:val="002A0876"/>
    <w:rsid w:val="002A1C30"/>
    <w:rsid w:val="002A1D1C"/>
    <w:rsid w:val="002A24EA"/>
    <w:rsid w:val="002A47FF"/>
    <w:rsid w:val="002A5FE3"/>
    <w:rsid w:val="002A60D8"/>
    <w:rsid w:val="002A60DF"/>
    <w:rsid w:val="002A7696"/>
    <w:rsid w:val="002B2130"/>
    <w:rsid w:val="002B26EA"/>
    <w:rsid w:val="002B2F4D"/>
    <w:rsid w:val="002B78B2"/>
    <w:rsid w:val="002B7D9D"/>
    <w:rsid w:val="002C0A6D"/>
    <w:rsid w:val="002C1984"/>
    <w:rsid w:val="002C36DA"/>
    <w:rsid w:val="002C420D"/>
    <w:rsid w:val="002C5602"/>
    <w:rsid w:val="002C63F4"/>
    <w:rsid w:val="002D0551"/>
    <w:rsid w:val="002D07DE"/>
    <w:rsid w:val="002D1A8D"/>
    <w:rsid w:val="002D3853"/>
    <w:rsid w:val="002D7184"/>
    <w:rsid w:val="002D7970"/>
    <w:rsid w:val="002E129F"/>
    <w:rsid w:val="002E22EF"/>
    <w:rsid w:val="002E549A"/>
    <w:rsid w:val="002E5CC1"/>
    <w:rsid w:val="002E75A0"/>
    <w:rsid w:val="002E78B0"/>
    <w:rsid w:val="002F00B9"/>
    <w:rsid w:val="002F0A2B"/>
    <w:rsid w:val="002F0AED"/>
    <w:rsid w:val="002F1B79"/>
    <w:rsid w:val="002F4C80"/>
    <w:rsid w:val="002F4E06"/>
    <w:rsid w:val="002F5431"/>
    <w:rsid w:val="002F55AF"/>
    <w:rsid w:val="003003A3"/>
    <w:rsid w:val="00302980"/>
    <w:rsid w:val="00304440"/>
    <w:rsid w:val="00304730"/>
    <w:rsid w:val="00304803"/>
    <w:rsid w:val="003054D3"/>
    <w:rsid w:val="00305857"/>
    <w:rsid w:val="00305986"/>
    <w:rsid w:val="00305AA1"/>
    <w:rsid w:val="00305BDB"/>
    <w:rsid w:val="00305E13"/>
    <w:rsid w:val="00315C88"/>
    <w:rsid w:val="003165E8"/>
    <w:rsid w:val="00316F24"/>
    <w:rsid w:val="00321E33"/>
    <w:rsid w:val="00322467"/>
    <w:rsid w:val="00322833"/>
    <w:rsid w:val="0032317A"/>
    <w:rsid w:val="003251FA"/>
    <w:rsid w:val="00325AE8"/>
    <w:rsid w:val="00326641"/>
    <w:rsid w:val="003266BB"/>
    <w:rsid w:val="00327D6C"/>
    <w:rsid w:val="00327F65"/>
    <w:rsid w:val="00327F6D"/>
    <w:rsid w:val="003307E4"/>
    <w:rsid w:val="003312A2"/>
    <w:rsid w:val="00331DD4"/>
    <w:rsid w:val="003324F0"/>
    <w:rsid w:val="00332C66"/>
    <w:rsid w:val="00334058"/>
    <w:rsid w:val="00334539"/>
    <w:rsid w:val="00334602"/>
    <w:rsid w:val="00334C7E"/>
    <w:rsid w:val="00335E87"/>
    <w:rsid w:val="00344639"/>
    <w:rsid w:val="00344EFD"/>
    <w:rsid w:val="0034616B"/>
    <w:rsid w:val="0034784E"/>
    <w:rsid w:val="003515F9"/>
    <w:rsid w:val="00351BC5"/>
    <w:rsid w:val="0035227B"/>
    <w:rsid w:val="00356DC5"/>
    <w:rsid w:val="00360AB1"/>
    <w:rsid w:val="00361A86"/>
    <w:rsid w:val="00362320"/>
    <w:rsid w:val="003644BB"/>
    <w:rsid w:val="00365542"/>
    <w:rsid w:val="00365A06"/>
    <w:rsid w:val="003661CB"/>
    <w:rsid w:val="00367D60"/>
    <w:rsid w:val="00370688"/>
    <w:rsid w:val="003731E2"/>
    <w:rsid w:val="00375615"/>
    <w:rsid w:val="00375EBD"/>
    <w:rsid w:val="003761A1"/>
    <w:rsid w:val="00377171"/>
    <w:rsid w:val="00377D10"/>
    <w:rsid w:val="0038016F"/>
    <w:rsid w:val="00380792"/>
    <w:rsid w:val="003837FD"/>
    <w:rsid w:val="00383D13"/>
    <w:rsid w:val="003840E1"/>
    <w:rsid w:val="00385549"/>
    <w:rsid w:val="0039021D"/>
    <w:rsid w:val="003912C3"/>
    <w:rsid w:val="003914A0"/>
    <w:rsid w:val="003916BE"/>
    <w:rsid w:val="00393FFF"/>
    <w:rsid w:val="0039424B"/>
    <w:rsid w:val="003945BA"/>
    <w:rsid w:val="0039470A"/>
    <w:rsid w:val="003A0B04"/>
    <w:rsid w:val="003A2046"/>
    <w:rsid w:val="003A541E"/>
    <w:rsid w:val="003A5789"/>
    <w:rsid w:val="003A5806"/>
    <w:rsid w:val="003A72C3"/>
    <w:rsid w:val="003B025A"/>
    <w:rsid w:val="003B05FB"/>
    <w:rsid w:val="003B0655"/>
    <w:rsid w:val="003B0E6D"/>
    <w:rsid w:val="003B436E"/>
    <w:rsid w:val="003B5FFE"/>
    <w:rsid w:val="003B64A7"/>
    <w:rsid w:val="003C046C"/>
    <w:rsid w:val="003C5F06"/>
    <w:rsid w:val="003C71DC"/>
    <w:rsid w:val="003D1C71"/>
    <w:rsid w:val="003D21EB"/>
    <w:rsid w:val="003D3A4B"/>
    <w:rsid w:val="003D3A73"/>
    <w:rsid w:val="003D44D7"/>
    <w:rsid w:val="003D7449"/>
    <w:rsid w:val="003E06E6"/>
    <w:rsid w:val="003E1832"/>
    <w:rsid w:val="003E298C"/>
    <w:rsid w:val="003E2F4B"/>
    <w:rsid w:val="003E4A49"/>
    <w:rsid w:val="003E5987"/>
    <w:rsid w:val="003E6828"/>
    <w:rsid w:val="003E6CAB"/>
    <w:rsid w:val="003F27EA"/>
    <w:rsid w:val="003F310C"/>
    <w:rsid w:val="003F380E"/>
    <w:rsid w:val="003F3B49"/>
    <w:rsid w:val="003F5E55"/>
    <w:rsid w:val="0040054B"/>
    <w:rsid w:val="004010A3"/>
    <w:rsid w:val="004033B5"/>
    <w:rsid w:val="004047E9"/>
    <w:rsid w:val="00404ECE"/>
    <w:rsid w:val="0040629D"/>
    <w:rsid w:val="00406312"/>
    <w:rsid w:val="00406F92"/>
    <w:rsid w:val="004103BE"/>
    <w:rsid w:val="0041106B"/>
    <w:rsid w:val="00411080"/>
    <w:rsid w:val="00411928"/>
    <w:rsid w:val="00412227"/>
    <w:rsid w:val="004139F3"/>
    <w:rsid w:val="0041458D"/>
    <w:rsid w:val="00416205"/>
    <w:rsid w:val="00417BB8"/>
    <w:rsid w:val="00420D2D"/>
    <w:rsid w:val="0042258A"/>
    <w:rsid w:val="0042361F"/>
    <w:rsid w:val="00423ADB"/>
    <w:rsid w:val="00423C6C"/>
    <w:rsid w:val="00424321"/>
    <w:rsid w:val="00424708"/>
    <w:rsid w:val="00426056"/>
    <w:rsid w:val="00430412"/>
    <w:rsid w:val="004308BD"/>
    <w:rsid w:val="004336A8"/>
    <w:rsid w:val="00433B6A"/>
    <w:rsid w:val="00434D89"/>
    <w:rsid w:val="00436F95"/>
    <w:rsid w:val="00436FDC"/>
    <w:rsid w:val="004408DA"/>
    <w:rsid w:val="00440D53"/>
    <w:rsid w:val="00440E5E"/>
    <w:rsid w:val="00442395"/>
    <w:rsid w:val="00442D06"/>
    <w:rsid w:val="00446C13"/>
    <w:rsid w:val="00446FAD"/>
    <w:rsid w:val="004514DD"/>
    <w:rsid w:val="00451DA0"/>
    <w:rsid w:val="00452234"/>
    <w:rsid w:val="00453D8F"/>
    <w:rsid w:val="00456635"/>
    <w:rsid w:val="00457EBD"/>
    <w:rsid w:val="00457F76"/>
    <w:rsid w:val="00461997"/>
    <w:rsid w:val="0046223B"/>
    <w:rsid w:val="0046239E"/>
    <w:rsid w:val="00463B1E"/>
    <w:rsid w:val="00466A19"/>
    <w:rsid w:val="00471CFB"/>
    <w:rsid w:val="0047362B"/>
    <w:rsid w:val="004739EB"/>
    <w:rsid w:val="0047507E"/>
    <w:rsid w:val="0047665D"/>
    <w:rsid w:val="004804E7"/>
    <w:rsid w:val="00481D8D"/>
    <w:rsid w:val="0048353C"/>
    <w:rsid w:val="00483822"/>
    <w:rsid w:val="00484C16"/>
    <w:rsid w:val="0048534D"/>
    <w:rsid w:val="0048554E"/>
    <w:rsid w:val="004858B7"/>
    <w:rsid w:val="00490162"/>
    <w:rsid w:val="0049108F"/>
    <w:rsid w:val="00492208"/>
    <w:rsid w:val="00493726"/>
    <w:rsid w:val="00494952"/>
    <w:rsid w:val="00494C1E"/>
    <w:rsid w:val="00494CD2"/>
    <w:rsid w:val="004954D6"/>
    <w:rsid w:val="00497295"/>
    <w:rsid w:val="004973C6"/>
    <w:rsid w:val="004A0B3C"/>
    <w:rsid w:val="004A158C"/>
    <w:rsid w:val="004A1D1C"/>
    <w:rsid w:val="004A266E"/>
    <w:rsid w:val="004A38A7"/>
    <w:rsid w:val="004A3DB0"/>
    <w:rsid w:val="004A4B34"/>
    <w:rsid w:val="004A4F95"/>
    <w:rsid w:val="004A5BA5"/>
    <w:rsid w:val="004A5C73"/>
    <w:rsid w:val="004B0AAD"/>
    <w:rsid w:val="004B22D6"/>
    <w:rsid w:val="004B30AC"/>
    <w:rsid w:val="004B3291"/>
    <w:rsid w:val="004B39E2"/>
    <w:rsid w:val="004B4E63"/>
    <w:rsid w:val="004B52A0"/>
    <w:rsid w:val="004B5D50"/>
    <w:rsid w:val="004B6C2E"/>
    <w:rsid w:val="004B6E4C"/>
    <w:rsid w:val="004B71E1"/>
    <w:rsid w:val="004B747F"/>
    <w:rsid w:val="004B7A7F"/>
    <w:rsid w:val="004B7B94"/>
    <w:rsid w:val="004C1A51"/>
    <w:rsid w:val="004C1C98"/>
    <w:rsid w:val="004C57E7"/>
    <w:rsid w:val="004C5802"/>
    <w:rsid w:val="004C676B"/>
    <w:rsid w:val="004C6C4D"/>
    <w:rsid w:val="004D3CB2"/>
    <w:rsid w:val="004E1665"/>
    <w:rsid w:val="004E2461"/>
    <w:rsid w:val="004E4B6C"/>
    <w:rsid w:val="004E5966"/>
    <w:rsid w:val="004E72B2"/>
    <w:rsid w:val="004F07C6"/>
    <w:rsid w:val="004F0F70"/>
    <w:rsid w:val="004F1E90"/>
    <w:rsid w:val="004F2CD0"/>
    <w:rsid w:val="004F2DCF"/>
    <w:rsid w:val="004F5338"/>
    <w:rsid w:val="004F5756"/>
    <w:rsid w:val="004F6095"/>
    <w:rsid w:val="004F7065"/>
    <w:rsid w:val="004F7CC6"/>
    <w:rsid w:val="004F7E58"/>
    <w:rsid w:val="005000CD"/>
    <w:rsid w:val="005018F4"/>
    <w:rsid w:val="00502055"/>
    <w:rsid w:val="005024C3"/>
    <w:rsid w:val="00502D69"/>
    <w:rsid w:val="00504C0D"/>
    <w:rsid w:val="00507222"/>
    <w:rsid w:val="00510736"/>
    <w:rsid w:val="00514433"/>
    <w:rsid w:val="00515A23"/>
    <w:rsid w:val="0051693C"/>
    <w:rsid w:val="00517063"/>
    <w:rsid w:val="005201FA"/>
    <w:rsid w:val="0052242C"/>
    <w:rsid w:val="005234FE"/>
    <w:rsid w:val="005236D8"/>
    <w:rsid w:val="00523FA8"/>
    <w:rsid w:val="005242F3"/>
    <w:rsid w:val="0052491A"/>
    <w:rsid w:val="00526CF5"/>
    <w:rsid w:val="00527973"/>
    <w:rsid w:val="005320CF"/>
    <w:rsid w:val="0053406C"/>
    <w:rsid w:val="0053495F"/>
    <w:rsid w:val="00534F6A"/>
    <w:rsid w:val="005366BC"/>
    <w:rsid w:val="0053707A"/>
    <w:rsid w:val="005375D8"/>
    <w:rsid w:val="005444F4"/>
    <w:rsid w:val="005445AA"/>
    <w:rsid w:val="005450EC"/>
    <w:rsid w:val="00545B0F"/>
    <w:rsid w:val="00546A02"/>
    <w:rsid w:val="00550894"/>
    <w:rsid w:val="00551462"/>
    <w:rsid w:val="00552CC1"/>
    <w:rsid w:val="00552E3F"/>
    <w:rsid w:val="00553E6C"/>
    <w:rsid w:val="00555484"/>
    <w:rsid w:val="00555D34"/>
    <w:rsid w:val="00555E34"/>
    <w:rsid w:val="005567E1"/>
    <w:rsid w:val="00556D9C"/>
    <w:rsid w:val="00560030"/>
    <w:rsid w:val="00561148"/>
    <w:rsid w:val="005619C0"/>
    <w:rsid w:val="00561ACB"/>
    <w:rsid w:val="00563619"/>
    <w:rsid w:val="00563F4B"/>
    <w:rsid w:val="00563FE7"/>
    <w:rsid w:val="00564088"/>
    <w:rsid w:val="00564BF7"/>
    <w:rsid w:val="005670C2"/>
    <w:rsid w:val="0056755E"/>
    <w:rsid w:val="00570413"/>
    <w:rsid w:val="005706F5"/>
    <w:rsid w:val="005707BC"/>
    <w:rsid w:val="0057454D"/>
    <w:rsid w:val="00574F1B"/>
    <w:rsid w:val="00576096"/>
    <w:rsid w:val="005761A0"/>
    <w:rsid w:val="00576E65"/>
    <w:rsid w:val="00580D61"/>
    <w:rsid w:val="00580D90"/>
    <w:rsid w:val="00582552"/>
    <w:rsid w:val="00582581"/>
    <w:rsid w:val="00582C98"/>
    <w:rsid w:val="0058340A"/>
    <w:rsid w:val="00583D03"/>
    <w:rsid w:val="005849A7"/>
    <w:rsid w:val="00586580"/>
    <w:rsid w:val="00586582"/>
    <w:rsid w:val="00587D9E"/>
    <w:rsid w:val="005911DF"/>
    <w:rsid w:val="00593248"/>
    <w:rsid w:val="00596159"/>
    <w:rsid w:val="00597A7B"/>
    <w:rsid w:val="005A03D4"/>
    <w:rsid w:val="005A23A3"/>
    <w:rsid w:val="005A2D48"/>
    <w:rsid w:val="005A2F51"/>
    <w:rsid w:val="005A33DD"/>
    <w:rsid w:val="005A4488"/>
    <w:rsid w:val="005A4EB5"/>
    <w:rsid w:val="005A689E"/>
    <w:rsid w:val="005A7DF4"/>
    <w:rsid w:val="005B23BB"/>
    <w:rsid w:val="005B2737"/>
    <w:rsid w:val="005B2F41"/>
    <w:rsid w:val="005B53D8"/>
    <w:rsid w:val="005B5716"/>
    <w:rsid w:val="005B59B3"/>
    <w:rsid w:val="005C25F0"/>
    <w:rsid w:val="005C3370"/>
    <w:rsid w:val="005C58CB"/>
    <w:rsid w:val="005C61CB"/>
    <w:rsid w:val="005D1ED0"/>
    <w:rsid w:val="005D1F79"/>
    <w:rsid w:val="005D2F4B"/>
    <w:rsid w:val="005D3258"/>
    <w:rsid w:val="005D5916"/>
    <w:rsid w:val="005D67FE"/>
    <w:rsid w:val="005D79D8"/>
    <w:rsid w:val="005E0602"/>
    <w:rsid w:val="005E0C9D"/>
    <w:rsid w:val="005E0EA4"/>
    <w:rsid w:val="005E5C12"/>
    <w:rsid w:val="005E5E96"/>
    <w:rsid w:val="005E602C"/>
    <w:rsid w:val="005E7607"/>
    <w:rsid w:val="005F4010"/>
    <w:rsid w:val="005F4CBE"/>
    <w:rsid w:val="005F5155"/>
    <w:rsid w:val="005F6A2D"/>
    <w:rsid w:val="006004EA"/>
    <w:rsid w:val="006038A0"/>
    <w:rsid w:val="00605AB7"/>
    <w:rsid w:val="00605E2D"/>
    <w:rsid w:val="00610206"/>
    <w:rsid w:val="00612E52"/>
    <w:rsid w:val="00613760"/>
    <w:rsid w:val="0061786B"/>
    <w:rsid w:val="0061786F"/>
    <w:rsid w:val="00620DF2"/>
    <w:rsid w:val="0062196D"/>
    <w:rsid w:val="00621C2D"/>
    <w:rsid w:val="00622096"/>
    <w:rsid w:val="00622E72"/>
    <w:rsid w:val="00625841"/>
    <w:rsid w:val="0062679C"/>
    <w:rsid w:val="00626E89"/>
    <w:rsid w:val="00630B35"/>
    <w:rsid w:val="006324DA"/>
    <w:rsid w:val="00633CD1"/>
    <w:rsid w:val="006348FE"/>
    <w:rsid w:val="00634E72"/>
    <w:rsid w:val="00636892"/>
    <w:rsid w:val="00637577"/>
    <w:rsid w:val="006415B1"/>
    <w:rsid w:val="00641943"/>
    <w:rsid w:val="00641CDD"/>
    <w:rsid w:val="0064320F"/>
    <w:rsid w:val="0064472F"/>
    <w:rsid w:val="00646266"/>
    <w:rsid w:val="00651A5E"/>
    <w:rsid w:val="00652856"/>
    <w:rsid w:val="00652DE1"/>
    <w:rsid w:val="00653F65"/>
    <w:rsid w:val="00654AA4"/>
    <w:rsid w:val="006553A9"/>
    <w:rsid w:val="0065707B"/>
    <w:rsid w:val="006577F0"/>
    <w:rsid w:val="00660087"/>
    <w:rsid w:val="00660BA8"/>
    <w:rsid w:val="0066695C"/>
    <w:rsid w:val="006671AC"/>
    <w:rsid w:val="00670413"/>
    <w:rsid w:val="00670A0D"/>
    <w:rsid w:val="00671768"/>
    <w:rsid w:val="00673314"/>
    <w:rsid w:val="00673D0E"/>
    <w:rsid w:val="006764DF"/>
    <w:rsid w:val="006765B8"/>
    <w:rsid w:val="006819C4"/>
    <w:rsid w:val="00681DB7"/>
    <w:rsid w:val="00681DC9"/>
    <w:rsid w:val="00683666"/>
    <w:rsid w:val="00684D69"/>
    <w:rsid w:val="00686F2E"/>
    <w:rsid w:val="00692147"/>
    <w:rsid w:val="00692230"/>
    <w:rsid w:val="00692BEF"/>
    <w:rsid w:val="00692C1F"/>
    <w:rsid w:val="0069328B"/>
    <w:rsid w:val="006939D4"/>
    <w:rsid w:val="00693B1A"/>
    <w:rsid w:val="00694F46"/>
    <w:rsid w:val="00695049"/>
    <w:rsid w:val="00695059"/>
    <w:rsid w:val="006951EB"/>
    <w:rsid w:val="00696CB2"/>
    <w:rsid w:val="00696F67"/>
    <w:rsid w:val="00697DEE"/>
    <w:rsid w:val="006A0433"/>
    <w:rsid w:val="006A145A"/>
    <w:rsid w:val="006A2C4B"/>
    <w:rsid w:val="006A76EE"/>
    <w:rsid w:val="006A77FC"/>
    <w:rsid w:val="006B1303"/>
    <w:rsid w:val="006B14CC"/>
    <w:rsid w:val="006B2619"/>
    <w:rsid w:val="006B335C"/>
    <w:rsid w:val="006B6D81"/>
    <w:rsid w:val="006C0EA9"/>
    <w:rsid w:val="006C1293"/>
    <w:rsid w:val="006C2C80"/>
    <w:rsid w:val="006C4FD6"/>
    <w:rsid w:val="006C6529"/>
    <w:rsid w:val="006C6B49"/>
    <w:rsid w:val="006C70C7"/>
    <w:rsid w:val="006C7A19"/>
    <w:rsid w:val="006D030D"/>
    <w:rsid w:val="006D0B43"/>
    <w:rsid w:val="006D1EAD"/>
    <w:rsid w:val="006D4952"/>
    <w:rsid w:val="006D4E3F"/>
    <w:rsid w:val="006D5F1C"/>
    <w:rsid w:val="006D78AA"/>
    <w:rsid w:val="006D7D45"/>
    <w:rsid w:val="006E11FF"/>
    <w:rsid w:val="006E251D"/>
    <w:rsid w:val="006E27C1"/>
    <w:rsid w:val="006E2F7A"/>
    <w:rsid w:val="006E328B"/>
    <w:rsid w:val="006E3E22"/>
    <w:rsid w:val="006E4A9F"/>
    <w:rsid w:val="006E5070"/>
    <w:rsid w:val="006E5B89"/>
    <w:rsid w:val="006E5E51"/>
    <w:rsid w:val="006E6E75"/>
    <w:rsid w:val="006E785D"/>
    <w:rsid w:val="006F1C6F"/>
    <w:rsid w:val="006F6813"/>
    <w:rsid w:val="006F696B"/>
    <w:rsid w:val="0070005B"/>
    <w:rsid w:val="00701E76"/>
    <w:rsid w:val="007045DA"/>
    <w:rsid w:val="007049EA"/>
    <w:rsid w:val="007076DE"/>
    <w:rsid w:val="00707D70"/>
    <w:rsid w:val="00710F4B"/>
    <w:rsid w:val="00716D4C"/>
    <w:rsid w:val="00716F47"/>
    <w:rsid w:val="0072105C"/>
    <w:rsid w:val="00721466"/>
    <w:rsid w:val="007241A2"/>
    <w:rsid w:val="00724832"/>
    <w:rsid w:val="00726031"/>
    <w:rsid w:val="00726985"/>
    <w:rsid w:val="0072698F"/>
    <w:rsid w:val="007277EC"/>
    <w:rsid w:val="00731691"/>
    <w:rsid w:val="00734F71"/>
    <w:rsid w:val="00735FDF"/>
    <w:rsid w:val="00736CBF"/>
    <w:rsid w:val="007370E8"/>
    <w:rsid w:val="0074133D"/>
    <w:rsid w:val="007417CF"/>
    <w:rsid w:val="00742428"/>
    <w:rsid w:val="00751CFE"/>
    <w:rsid w:val="007530B9"/>
    <w:rsid w:val="00753DB0"/>
    <w:rsid w:val="007541A0"/>
    <w:rsid w:val="00755736"/>
    <w:rsid w:val="00763EC1"/>
    <w:rsid w:val="007641D2"/>
    <w:rsid w:val="0076424A"/>
    <w:rsid w:val="00765804"/>
    <w:rsid w:val="00766186"/>
    <w:rsid w:val="00766750"/>
    <w:rsid w:val="007708D5"/>
    <w:rsid w:val="0077187F"/>
    <w:rsid w:val="00772485"/>
    <w:rsid w:val="007734CC"/>
    <w:rsid w:val="007753FC"/>
    <w:rsid w:val="00777371"/>
    <w:rsid w:val="00777DB1"/>
    <w:rsid w:val="0078012A"/>
    <w:rsid w:val="00780A4F"/>
    <w:rsid w:val="00780D26"/>
    <w:rsid w:val="0078159D"/>
    <w:rsid w:val="00785F5E"/>
    <w:rsid w:val="007866E3"/>
    <w:rsid w:val="00786743"/>
    <w:rsid w:val="00786C5B"/>
    <w:rsid w:val="00787AC8"/>
    <w:rsid w:val="007906F8"/>
    <w:rsid w:val="007927A7"/>
    <w:rsid w:val="007935EE"/>
    <w:rsid w:val="007A08C6"/>
    <w:rsid w:val="007A2B95"/>
    <w:rsid w:val="007A3AC3"/>
    <w:rsid w:val="007A3B0B"/>
    <w:rsid w:val="007A3DA1"/>
    <w:rsid w:val="007A489B"/>
    <w:rsid w:val="007A54C6"/>
    <w:rsid w:val="007A57AD"/>
    <w:rsid w:val="007A70F0"/>
    <w:rsid w:val="007B0B62"/>
    <w:rsid w:val="007B13FF"/>
    <w:rsid w:val="007B1647"/>
    <w:rsid w:val="007B214F"/>
    <w:rsid w:val="007B439F"/>
    <w:rsid w:val="007B44E6"/>
    <w:rsid w:val="007B4F21"/>
    <w:rsid w:val="007B5759"/>
    <w:rsid w:val="007B680F"/>
    <w:rsid w:val="007C2CD5"/>
    <w:rsid w:val="007C6748"/>
    <w:rsid w:val="007D3DA3"/>
    <w:rsid w:val="007D5CCE"/>
    <w:rsid w:val="007D7D9E"/>
    <w:rsid w:val="007E11AC"/>
    <w:rsid w:val="007E2041"/>
    <w:rsid w:val="007E2060"/>
    <w:rsid w:val="007E384A"/>
    <w:rsid w:val="007E3A3E"/>
    <w:rsid w:val="007E4FDC"/>
    <w:rsid w:val="007F2532"/>
    <w:rsid w:val="007F58DE"/>
    <w:rsid w:val="007F5F4E"/>
    <w:rsid w:val="007F6BB4"/>
    <w:rsid w:val="008009C2"/>
    <w:rsid w:val="00800D60"/>
    <w:rsid w:val="00802D5C"/>
    <w:rsid w:val="00806329"/>
    <w:rsid w:val="00813BAE"/>
    <w:rsid w:val="00814EBE"/>
    <w:rsid w:val="00815122"/>
    <w:rsid w:val="0081578E"/>
    <w:rsid w:val="00816314"/>
    <w:rsid w:val="00816E1F"/>
    <w:rsid w:val="008173EA"/>
    <w:rsid w:val="008178BA"/>
    <w:rsid w:val="00817D35"/>
    <w:rsid w:val="00820294"/>
    <w:rsid w:val="00821192"/>
    <w:rsid w:val="00821BAC"/>
    <w:rsid w:val="00824B73"/>
    <w:rsid w:val="008255A8"/>
    <w:rsid w:val="00826BB3"/>
    <w:rsid w:val="00830768"/>
    <w:rsid w:val="00830E84"/>
    <w:rsid w:val="00834E45"/>
    <w:rsid w:val="0083523A"/>
    <w:rsid w:val="00836757"/>
    <w:rsid w:val="00840E4C"/>
    <w:rsid w:val="00842017"/>
    <w:rsid w:val="00843E52"/>
    <w:rsid w:val="00844711"/>
    <w:rsid w:val="00844C50"/>
    <w:rsid w:val="0084596C"/>
    <w:rsid w:val="00845AF5"/>
    <w:rsid w:val="0084797C"/>
    <w:rsid w:val="00847B5F"/>
    <w:rsid w:val="008503A0"/>
    <w:rsid w:val="00854644"/>
    <w:rsid w:val="00855C0A"/>
    <w:rsid w:val="00856C64"/>
    <w:rsid w:val="0086185C"/>
    <w:rsid w:val="00861B5E"/>
    <w:rsid w:val="00862B67"/>
    <w:rsid w:val="00863461"/>
    <w:rsid w:val="00864E7C"/>
    <w:rsid w:val="00864EE9"/>
    <w:rsid w:val="0086562F"/>
    <w:rsid w:val="00867E3E"/>
    <w:rsid w:val="00867F99"/>
    <w:rsid w:val="00872D39"/>
    <w:rsid w:val="00873E6D"/>
    <w:rsid w:val="00874FBF"/>
    <w:rsid w:val="008753E8"/>
    <w:rsid w:val="00875A27"/>
    <w:rsid w:val="00881398"/>
    <w:rsid w:val="008850A1"/>
    <w:rsid w:val="008855B8"/>
    <w:rsid w:val="008901C7"/>
    <w:rsid w:val="00890D95"/>
    <w:rsid w:val="008948BC"/>
    <w:rsid w:val="008952E6"/>
    <w:rsid w:val="00896343"/>
    <w:rsid w:val="008968A4"/>
    <w:rsid w:val="00896D3D"/>
    <w:rsid w:val="008A02F6"/>
    <w:rsid w:val="008A1B56"/>
    <w:rsid w:val="008A3E29"/>
    <w:rsid w:val="008A5B81"/>
    <w:rsid w:val="008A5BBD"/>
    <w:rsid w:val="008A6ACF"/>
    <w:rsid w:val="008A6C3C"/>
    <w:rsid w:val="008B1891"/>
    <w:rsid w:val="008B2543"/>
    <w:rsid w:val="008B2BEB"/>
    <w:rsid w:val="008B2CD4"/>
    <w:rsid w:val="008B3B03"/>
    <w:rsid w:val="008B4886"/>
    <w:rsid w:val="008B579F"/>
    <w:rsid w:val="008B5C14"/>
    <w:rsid w:val="008B65B9"/>
    <w:rsid w:val="008B76B1"/>
    <w:rsid w:val="008C27E9"/>
    <w:rsid w:val="008C4098"/>
    <w:rsid w:val="008C4B86"/>
    <w:rsid w:val="008C4D7E"/>
    <w:rsid w:val="008C56EA"/>
    <w:rsid w:val="008C5E21"/>
    <w:rsid w:val="008C67A8"/>
    <w:rsid w:val="008C6E59"/>
    <w:rsid w:val="008C7A8C"/>
    <w:rsid w:val="008D0015"/>
    <w:rsid w:val="008D352B"/>
    <w:rsid w:val="008D40B3"/>
    <w:rsid w:val="008D786B"/>
    <w:rsid w:val="008E1697"/>
    <w:rsid w:val="008E26CD"/>
    <w:rsid w:val="008E2F6B"/>
    <w:rsid w:val="008E31F2"/>
    <w:rsid w:val="008E369B"/>
    <w:rsid w:val="008E43DA"/>
    <w:rsid w:val="008E5647"/>
    <w:rsid w:val="008E62A0"/>
    <w:rsid w:val="008E79DC"/>
    <w:rsid w:val="008F0253"/>
    <w:rsid w:val="008F0562"/>
    <w:rsid w:val="008F06D1"/>
    <w:rsid w:val="008F22B2"/>
    <w:rsid w:val="008F2EC4"/>
    <w:rsid w:val="008F367A"/>
    <w:rsid w:val="008F5AFC"/>
    <w:rsid w:val="008F7778"/>
    <w:rsid w:val="00900970"/>
    <w:rsid w:val="0090246D"/>
    <w:rsid w:val="0090292B"/>
    <w:rsid w:val="00903FE9"/>
    <w:rsid w:val="00904057"/>
    <w:rsid w:val="00906A69"/>
    <w:rsid w:val="00906DEC"/>
    <w:rsid w:val="0090782C"/>
    <w:rsid w:val="00910B3B"/>
    <w:rsid w:val="00910D11"/>
    <w:rsid w:val="00910FAB"/>
    <w:rsid w:val="00911739"/>
    <w:rsid w:val="00914D10"/>
    <w:rsid w:val="00915281"/>
    <w:rsid w:val="00915CF6"/>
    <w:rsid w:val="00916B6A"/>
    <w:rsid w:val="00916C26"/>
    <w:rsid w:val="009172AA"/>
    <w:rsid w:val="009202DD"/>
    <w:rsid w:val="00920C67"/>
    <w:rsid w:val="00921AF5"/>
    <w:rsid w:val="0092213E"/>
    <w:rsid w:val="00930150"/>
    <w:rsid w:val="009309D6"/>
    <w:rsid w:val="00930E9D"/>
    <w:rsid w:val="0093140E"/>
    <w:rsid w:val="00932921"/>
    <w:rsid w:val="00933287"/>
    <w:rsid w:val="00935CE8"/>
    <w:rsid w:val="00941DD4"/>
    <w:rsid w:val="00943475"/>
    <w:rsid w:val="00943AF0"/>
    <w:rsid w:val="0094670E"/>
    <w:rsid w:val="00951526"/>
    <w:rsid w:val="009515E6"/>
    <w:rsid w:val="00951847"/>
    <w:rsid w:val="00952D3D"/>
    <w:rsid w:val="00953ACF"/>
    <w:rsid w:val="00954283"/>
    <w:rsid w:val="00954559"/>
    <w:rsid w:val="00954B54"/>
    <w:rsid w:val="00954D63"/>
    <w:rsid w:val="0095559C"/>
    <w:rsid w:val="009564A0"/>
    <w:rsid w:val="009564E3"/>
    <w:rsid w:val="00956B5A"/>
    <w:rsid w:val="00956FAE"/>
    <w:rsid w:val="00960FE0"/>
    <w:rsid w:val="009625A3"/>
    <w:rsid w:val="00962BD5"/>
    <w:rsid w:val="00962E30"/>
    <w:rsid w:val="009631B9"/>
    <w:rsid w:val="009645C3"/>
    <w:rsid w:val="00964AB5"/>
    <w:rsid w:val="0096509F"/>
    <w:rsid w:val="00965B0B"/>
    <w:rsid w:val="00966AF5"/>
    <w:rsid w:val="009670F5"/>
    <w:rsid w:val="00967913"/>
    <w:rsid w:val="00971862"/>
    <w:rsid w:val="0097258B"/>
    <w:rsid w:val="0097290E"/>
    <w:rsid w:val="00973534"/>
    <w:rsid w:val="00976493"/>
    <w:rsid w:val="0097782A"/>
    <w:rsid w:val="00977BDA"/>
    <w:rsid w:val="00977C79"/>
    <w:rsid w:val="00980236"/>
    <w:rsid w:val="00981A06"/>
    <w:rsid w:val="00982821"/>
    <w:rsid w:val="0098382C"/>
    <w:rsid w:val="0098389F"/>
    <w:rsid w:val="009848B1"/>
    <w:rsid w:val="00985B82"/>
    <w:rsid w:val="009865B5"/>
    <w:rsid w:val="0098663E"/>
    <w:rsid w:val="00987197"/>
    <w:rsid w:val="0099231D"/>
    <w:rsid w:val="00992B5D"/>
    <w:rsid w:val="0099464B"/>
    <w:rsid w:val="00996DE5"/>
    <w:rsid w:val="009A2A48"/>
    <w:rsid w:val="009A44E3"/>
    <w:rsid w:val="009A56F1"/>
    <w:rsid w:val="009B0C0A"/>
    <w:rsid w:val="009B0C96"/>
    <w:rsid w:val="009B40C9"/>
    <w:rsid w:val="009B50EA"/>
    <w:rsid w:val="009B57E2"/>
    <w:rsid w:val="009B6209"/>
    <w:rsid w:val="009B7F26"/>
    <w:rsid w:val="009C0525"/>
    <w:rsid w:val="009C1FB8"/>
    <w:rsid w:val="009C2F5E"/>
    <w:rsid w:val="009C3860"/>
    <w:rsid w:val="009C3D6F"/>
    <w:rsid w:val="009C4BE8"/>
    <w:rsid w:val="009C57D4"/>
    <w:rsid w:val="009C5C9C"/>
    <w:rsid w:val="009C5D54"/>
    <w:rsid w:val="009C67A9"/>
    <w:rsid w:val="009C720F"/>
    <w:rsid w:val="009C744D"/>
    <w:rsid w:val="009D13DE"/>
    <w:rsid w:val="009D4A3A"/>
    <w:rsid w:val="009D63A5"/>
    <w:rsid w:val="009D7386"/>
    <w:rsid w:val="009E1F3B"/>
    <w:rsid w:val="009E263C"/>
    <w:rsid w:val="009E2936"/>
    <w:rsid w:val="009E36F1"/>
    <w:rsid w:val="009E4658"/>
    <w:rsid w:val="009E4766"/>
    <w:rsid w:val="009E5504"/>
    <w:rsid w:val="009E5772"/>
    <w:rsid w:val="009E6DEA"/>
    <w:rsid w:val="009E73B2"/>
    <w:rsid w:val="009F0C85"/>
    <w:rsid w:val="009F1536"/>
    <w:rsid w:val="009F269C"/>
    <w:rsid w:val="009F2A7F"/>
    <w:rsid w:val="009F2C17"/>
    <w:rsid w:val="009F2F03"/>
    <w:rsid w:val="009F45EC"/>
    <w:rsid w:val="009F5FE6"/>
    <w:rsid w:val="009F7179"/>
    <w:rsid w:val="00A01E19"/>
    <w:rsid w:val="00A02B18"/>
    <w:rsid w:val="00A05EC8"/>
    <w:rsid w:val="00A0616A"/>
    <w:rsid w:val="00A10AB8"/>
    <w:rsid w:val="00A10CAF"/>
    <w:rsid w:val="00A115D5"/>
    <w:rsid w:val="00A11EE5"/>
    <w:rsid w:val="00A1323C"/>
    <w:rsid w:val="00A158C3"/>
    <w:rsid w:val="00A15E09"/>
    <w:rsid w:val="00A1696C"/>
    <w:rsid w:val="00A178F6"/>
    <w:rsid w:val="00A2083C"/>
    <w:rsid w:val="00A215AA"/>
    <w:rsid w:val="00A228B2"/>
    <w:rsid w:val="00A237DA"/>
    <w:rsid w:val="00A248E5"/>
    <w:rsid w:val="00A249E4"/>
    <w:rsid w:val="00A251A7"/>
    <w:rsid w:val="00A260C7"/>
    <w:rsid w:val="00A264A9"/>
    <w:rsid w:val="00A32CD9"/>
    <w:rsid w:val="00A3796E"/>
    <w:rsid w:val="00A40329"/>
    <w:rsid w:val="00A41442"/>
    <w:rsid w:val="00A43FF3"/>
    <w:rsid w:val="00A44E77"/>
    <w:rsid w:val="00A45367"/>
    <w:rsid w:val="00A46F36"/>
    <w:rsid w:val="00A47F64"/>
    <w:rsid w:val="00A532B6"/>
    <w:rsid w:val="00A5431C"/>
    <w:rsid w:val="00A549AD"/>
    <w:rsid w:val="00A552F2"/>
    <w:rsid w:val="00A557C3"/>
    <w:rsid w:val="00A56238"/>
    <w:rsid w:val="00A567A2"/>
    <w:rsid w:val="00A60D4D"/>
    <w:rsid w:val="00A62445"/>
    <w:rsid w:val="00A63AE2"/>
    <w:rsid w:val="00A63BFE"/>
    <w:rsid w:val="00A644CA"/>
    <w:rsid w:val="00A7150C"/>
    <w:rsid w:val="00A71F70"/>
    <w:rsid w:val="00A738AA"/>
    <w:rsid w:val="00A74072"/>
    <w:rsid w:val="00A74FC4"/>
    <w:rsid w:val="00A75C92"/>
    <w:rsid w:val="00A76252"/>
    <w:rsid w:val="00A80379"/>
    <w:rsid w:val="00A80DAE"/>
    <w:rsid w:val="00A83E3C"/>
    <w:rsid w:val="00A868B6"/>
    <w:rsid w:val="00A86E49"/>
    <w:rsid w:val="00A8746B"/>
    <w:rsid w:val="00A87A75"/>
    <w:rsid w:val="00A91A3A"/>
    <w:rsid w:val="00A93103"/>
    <w:rsid w:val="00A93EA8"/>
    <w:rsid w:val="00A94527"/>
    <w:rsid w:val="00A94E52"/>
    <w:rsid w:val="00A96BB0"/>
    <w:rsid w:val="00AA038A"/>
    <w:rsid w:val="00AA08C9"/>
    <w:rsid w:val="00AA0DA2"/>
    <w:rsid w:val="00AA102C"/>
    <w:rsid w:val="00AA2683"/>
    <w:rsid w:val="00AA5E63"/>
    <w:rsid w:val="00AA61A8"/>
    <w:rsid w:val="00AA6BFD"/>
    <w:rsid w:val="00AA7F14"/>
    <w:rsid w:val="00AB259C"/>
    <w:rsid w:val="00AB3A0B"/>
    <w:rsid w:val="00AB4FCA"/>
    <w:rsid w:val="00AB5987"/>
    <w:rsid w:val="00AB6C6E"/>
    <w:rsid w:val="00AB6FDE"/>
    <w:rsid w:val="00AB7EAF"/>
    <w:rsid w:val="00AC1033"/>
    <w:rsid w:val="00AC289B"/>
    <w:rsid w:val="00AC5E6E"/>
    <w:rsid w:val="00AD029C"/>
    <w:rsid w:val="00AD0BDF"/>
    <w:rsid w:val="00AD0E2F"/>
    <w:rsid w:val="00AD20FF"/>
    <w:rsid w:val="00AD2792"/>
    <w:rsid w:val="00AD4383"/>
    <w:rsid w:val="00AD5DC0"/>
    <w:rsid w:val="00AD6F84"/>
    <w:rsid w:val="00AD7CB3"/>
    <w:rsid w:val="00AD7D20"/>
    <w:rsid w:val="00AE133F"/>
    <w:rsid w:val="00AE5D82"/>
    <w:rsid w:val="00AE6025"/>
    <w:rsid w:val="00AF0E48"/>
    <w:rsid w:val="00AF15E8"/>
    <w:rsid w:val="00AF1B50"/>
    <w:rsid w:val="00AF602A"/>
    <w:rsid w:val="00AF6DEB"/>
    <w:rsid w:val="00AF7E42"/>
    <w:rsid w:val="00B001F7"/>
    <w:rsid w:val="00B0249C"/>
    <w:rsid w:val="00B029B6"/>
    <w:rsid w:val="00B06677"/>
    <w:rsid w:val="00B12D80"/>
    <w:rsid w:val="00B156DE"/>
    <w:rsid w:val="00B168E9"/>
    <w:rsid w:val="00B16B3B"/>
    <w:rsid w:val="00B17672"/>
    <w:rsid w:val="00B17A69"/>
    <w:rsid w:val="00B2259A"/>
    <w:rsid w:val="00B2373C"/>
    <w:rsid w:val="00B239CD"/>
    <w:rsid w:val="00B23ACD"/>
    <w:rsid w:val="00B247EC"/>
    <w:rsid w:val="00B24CAE"/>
    <w:rsid w:val="00B265A3"/>
    <w:rsid w:val="00B2748D"/>
    <w:rsid w:val="00B30428"/>
    <w:rsid w:val="00B3122D"/>
    <w:rsid w:val="00B31C93"/>
    <w:rsid w:val="00B34104"/>
    <w:rsid w:val="00B35C57"/>
    <w:rsid w:val="00B40361"/>
    <w:rsid w:val="00B410D3"/>
    <w:rsid w:val="00B414DB"/>
    <w:rsid w:val="00B449A3"/>
    <w:rsid w:val="00B45577"/>
    <w:rsid w:val="00B51EB9"/>
    <w:rsid w:val="00B53967"/>
    <w:rsid w:val="00B54604"/>
    <w:rsid w:val="00B550A9"/>
    <w:rsid w:val="00B5660B"/>
    <w:rsid w:val="00B605F6"/>
    <w:rsid w:val="00B702B6"/>
    <w:rsid w:val="00B70ADD"/>
    <w:rsid w:val="00B70CD9"/>
    <w:rsid w:val="00B72A60"/>
    <w:rsid w:val="00B737C7"/>
    <w:rsid w:val="00B73A4B"/>
    <w:rsid w:val="00B745FF"/>
    <w:rsid w:val="00B74D66"/>
    <w:rsid w:val="00B74E57"/>
    <w:rsid w:val="00B81290"/>
    <w:rsid w:val="00B8146A"/>
    <w:rsid w:val="00B81C54"/>
    <w:rsid w:val="00B81C89"/>
    <w:rsid w:val="00B82422"/>
    <w:rsid w:val="00B875B4"/>
    <w:rsid w:val="00B9175B"/>
    <w:rsid w:val="00B9264F"/>
    <w:rsid w:val="00B94C8E"/>
    <w:rsid w:val="00B9520F"/>
    <w:rsid w:val="00B95404"/>
    <w:rsid w:val="00B96EA0"/>
    <w:rsid w:val="00B96FC5"/>
    <w:rsid w:val="00BA0970"/>
    <w:rsid w:val="00BA0AB5"/>
    <w:rsid w:val="00BA1C3B"/>
    <w:rsid w:val="00BA1E36"/>
    <w:rsid w:val="00BA1F0B"/>
    <w:rsid w:val="00BA329A"/>
    <w:rsid w:val="00BA358C"/>
    <w:rsid w:val="00BA4459"/>
    <w:rsid w:val="00BA7CB9"/>
    <w:rsid w:val="00BB00E1"/>
    <w:rsid w:val="00BB24D0"/>
    <w:rsid w:val="00BB4605"/>
    <w:rsid w:val="00BB5074"/>
    <w:rsid w:val="00BC076E"/>
    <w:rsid w:val="00BC4341"/>
    <w:rsid w:val="00BC501C"/>
    <w:rsid w:val="00BC58CC"/>
    <w:rsid w:val="00BC7F53"/>
    <w:rsid w:val="00BD240B"/>
    <w:rsid w:val="00BD2B93"/>
    <w:rsid w:val="00BD369B"/>
    <w:rsid w:val="00BD3766"/>
    <w:rsid w:val="00BD3D28"/>
    <w:rsid w:val="00BD41E9"/>
    <w:rsid w:val="00BD547C"/>
    <w:rsid w:val="00BD6430"/>
    <w:rsid w:val="00BD6A8C"/>
    <w:rsid w:val="00BD7685"/>
    <w:rsid w:val="00BD7C0D"/>
    <w:rsid w:val="00BE1F53"/>
    <w:rsid w:val="00BE3313"/>
    <w:rsid w:val="00BE59FB"/>
    <w:rsid w:val="00BF0A60"/>
    <w:rsid w:val="00BF2884"/>
    <w:rsid w:val="00BF2F77"/>
    <w:rsid w:val="00BF39DA"/>
    <w:rsid w:val="00BF3B7A"/>
    <w:rsid w:val="00BF52F0"/>
    <w:rsid w:val="00BF587C"/>
    <w:rsid w:val="00BF7B3F"/>
    <w:rsid w:val="00C01174"/>
    <w:rsid w:val="00C02994"/>
    <w:rsid w:val="00C0611F"/>
    <w:rsid w:val="00C0648A"/>
    <w:rsid w:val="00C06681"/>
    <w:rsid w:val="00C071CD"/>
    <w:rsid w:val="00C075F3"/>
    <w:rsid w:val="00C11C58"/>
    <w:rsid w:val="00C145E4"/>
    <w:rsid w:val="00C14B60"/>
    <w:rsid w:val="00C15605"/>
    <w:rsid w:val="00C2372B"/>
    <w:rsid w:val="00C24155"/>
    <w:rsid w:val="00C26776"/>
    <w:rsid w:val="00C277B2"/>
    <w:rsid w:val="00C3058C"/>
    <w:rsid w:val="00C315D4"/>
    <w:rsid w:val="00C3253F"/>
    <w:rsid w:val="00C32A36"/>
    <w:rsid w:val="00C35B37"/>
    <w:rsid w:val="00C36511"/>
    <w:rsid w:val="00C4008D"/>
    <w:rsid w:val="00C40495"/>
    <w:rsid w:val="00C407FB"/>
    <w:rsid w:val="00C40F4D"/>
    <w:rsid w:val="00C4124A"/>
    <w:rsid w:val="00C416B4"/>
    <w:rsid w:val="00C417FB"/>
    <w:rsid w:val="00C433FB"/>
    <w:rsid w:val="00C44054"/>
    <w:rsid w:val="00C46181"/>
    <w:rsid w:val="00C5078C"/>
    <w:rsid w:val="00C5152D"/>
    <w:rsid w:val="00C53370"/>
    <w:rsid w:val="00C54813"/>
    <w:rsid w:val="00C60307"/>
    <w:rsid w:val="00C6059B"/>
    <w:rsid w:val="00C61D79"/>
    <w:rsid w:val="00C61D91"/>
    <w:rsid w:val="00C6230E"/>
    <w:rsid w:val="00C62E53"/>
    <w:rsid w:val="00C63005"/>
    <w:rsid w:val="00C64193"/>
    <w:rsid w:val="00C67FF1"/>
    <w:rsid w:val="00C701CD"/>
    <w:rsid w:val="00C721E8"/>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63E2"/>
    <w:rsid w:val="00C8710A"/>
    <w:rsid w:val="00C902BD"/>
    <w:rsid w:val="00C93D6B"/>
    <w:rsid w:val="00C953A6"/>
    <w:rsid w:val="00C95407"/>
    <w:rsid w:val="00C96747"/>
    <w:rsid w:val="00C973C4"/>
    <w:rsid w:val="00C977B4"/>
    <w:rsid w:val="00CA3E96"/>
    <w:rsid w:val="00CA40A0"/>
    <w:rsid w:val="00CA40D2"/>
    <w:rsid w:val="00CA4839"/>
    <w:rsid w:val="00CA7C86"/>
    <w:rsid w:val="00CB4202"/>
    <w:rsid w:val="00CB52A1"/>
    <w:rsid w:val="00CB566B"/>
    <w:rsid w:val="00CB704E"/>
    <w:rsid w:val="00CC1715"/>
    <w:rsid w:val="00CC2147"/>
    <w:rsid w:val="00CC228B"/>
    <w:rsid w:val="00CC3315"/>
    <w:rsid w:val="00CC3D82"/>
    <w:rsid w:val="00CC47BA"/>
    <w:rsid w:val="00CC5288"/>
    <w:rsid w:val="00CD1AFA"/>
    <w:rsid w:val="00CD23CC"/>
    <w:rsid w:val="00CD264B"/>
    <w:rsid w:val="00CD28AF"/>
    <w:rsid w:val="00CD2FBF"/>
    <w:rsid w:val="00CD54CF"/>
    <w:rsid w:val="00CE0F96"/>
    <w:rsid w:val="00CE19C6"/>
    <w:rsid w:val="00CE2FAA"/>
    <w:rsid w:val="00CE3D09"/>
    <w:rsid w:val="00CE4530"/>
    <w:rsid w:val="00CE4B47"/>
    <w:rsid w:val="00CE5DB2"/>
    <w:rsid w:val="00CE7686"/>
    <w:rsid w:val="00CF0635"/>
    <w:rsid w:val="00CF1A58"/>
    <w:rsid w:val="00CF2623"/>
    <w:rsid w:val="00CF2A13"/>
    <w:rsid w:val="00CF32EF"/>
    <w:rsid w:val="00CF4A29"/>
    <w:rsid w:val="00CF4E43"/>
    <w:rsid w:val="00CF5251"/>
    <w:rsid w:val="00CF6403"/>
    <w:rsid w:val="00CF6C14"/>
    <w:rsid w:val="00CF7511"/>
    <w:rsid w:val="00D03932"/>
    <w:rsid w:val="00D04C12"/>
    <w:rsid w:val="00D07E08"/>
    <w:rsid w:val="00D1014C"/>
    <w:rsid w:val="00D11D4D"/>
    <w:rsid w:val="00D1318D"/>
    <w:rsid w:val="00D1350E"/>
    <w:rsid w:val="00D14BAB"/>
    <w:rsid w:val="00D17858"/>
    <w:rsid w:val="00D17DEF"/>
    <w:rsid w:val="00D24BD5"/>
    <w:rsid w:val="00D25136"/>
    <w:rsid w:val="00D2680D"/>
    <w:rsid w:val="00D303E6"/>
    <w:rsid w:val="00D30878"/>
    <w:rsid w:val="00D3410E"/>
    <w:rsid w:val="00D41199"/>
    <w:rsid w:val="00D416CF"/>
    <w:rsid w:val="00D42855"/>
    <w:rsid w:val="00D42FFF"/>
    <w:rsid w:val="00D43DF9"/>
    <w:rsid w:val="00D4640B"/>
    <w:rsid w:val="00D46E48"/>
    <w:rsid w:val="00D47764"/>
    <w:rsid w:val="00D4797B"/>
    <w:rsid w:val="00D54DB9"/>
    <w:rsid w:val="00D5526F"/>
    <w:rsid w:val="00D5549E"/>
    <w:rsid w:val="00D55974"/>
    <w:rsid w:val="00D56035"/>
    <w:rsid w:val="00D614AF"/>
    <w:rsid w:val="00D61838"/>
    <w:rsid w:val="00D6212C"/>
    <w:rsid w:val="00D629A3"/>
    <w:rsid w:val="00D62D4D"/>
    <w:rsid w:val="00D64B4F"/>
    <w:rsid w:val="00D64FD4"/>
    <w:rsid w:val="00D66925"/>
    <w:rsid w:val="00D66B60"/>
    <w:rsid w:val="00D66F4B"/>
    <w:rsid w:val="00D7038B"/>
    <w:rsid w:val="00D717C5"/>
    <w:rsid w:val="00D72E12"/>
    <w:rsid w:val="00D73164"/>
    <w:rsid w:val="00D734DA"/>
    <w:rsid w:val="00D73883"/>
    <w:rsid w:val="00D75C1A"/>
    <w:rsid w:val="00D76B69"/>
    <w:rsid w:val="00D76F1B"/>
    <w:rsid w:val="00D80922"/>
    <w:rsid w:val="00D8225A"/>
    <w:rsid w:val="00D83F9B"/>
    <w:rsid w:val="00D84745"/>
    <w:rsid w:val="00D9011A"/>
    <w:rsid w:val="00D9100B"/>
    <w:rsid w:val="00D91593"/>
    <w:rsid w:val="00D92392"/>
    <w:rsid w:val="00D92CD1"/>
    <w:rsid w:val="00D9300D"/>
    <w:rsid w:val="00D940D1"/>
    <w:rsid w:val="00D9454B"/>
    <w:rsid w:val="00D950C4"/>
    <w:rsid w:val="00D9654F"/>
    <w:rsid w:val="00D97B7D"/>
    <w:rsid w:val="00DA3410"/>
    <w:rsid w:val="00DA670E"/>
    <w:rsid w:val="00DA7B39"/>
    <w:rsid w:val="00DB088B"/>
    <w:rsid w:val="00DB196B"/>
    <w:rsid w:val="00DB3451"/>
    <w:rsid w:val="00DB41D5"/>
    <w:rsid w:val="00DB4DAD"/>
    <w:rsid w:val="00DB66A1"/>
    <w:rsid w:val="00DB6B76"/>
    <w:rsid w:val="00DC0035"/>
    <w:rsid w:val="00DC03F5"/>
    <w:rsid w:val="00DC0BEE"/>
    <w:rsid w:val="00DC0E1C"/>
    <w:rsid w:val="00DC2CE3"/>
    <w:rsid w:val="00DC2F7F"/>
    <w:rsid w:val="00DC6558"/>
    <w:rsid w:val="00DC6E71"/>
    <w:rsid w:val="00DC719C"/>
    <w:rsid w:val="00DD19AD"/>
    <w:rsid w:val="00DD4370"/>
    <w:rsid w:val="00DD62A7"/>
    <w:rsid w:val="00DE02EB"/>
    <w:rsid w:val="00DE0847"/>
    <w:rsid w:val="00DE1A3E"/>
    <w:rsid w:val="00DE2EAE"/>
    <w:rsid w:val="00DE4E44"/>
    <w:rsid w:val="00DE50CD"/>
    <w:rsid w:val="00DE605B"/>
    <w:rsid w:val="00DE6135"/>
    <w:rsid w:val="00DF0C23"/>
    <w:rsid w:val="00DF19F6"/>
    <w:rsid w:val="00DF21FF"/>
    <w:rsid w:val="00DF3536"/>
    <w:rsid w:val="00DF51E3"/>
    <w:rsid w:val="00DF53C3"/>
    <w:rsid w:val="00DF5573"/>
    <w:rsid w:val="00DF6AF7"/>
    <w:rsid w:val="00DF736B"/>
    <w:rsid w:val="00E03FB7"/>
    <w:rsid w:val="00E05800"/>
    <w:rsid w:val="00E0632F"/>
    <w:rsid w:val="00E06D3C"/>
    <w:rsid w:val="00E14B44"/>
    <w:rsid w:val="00E15FCE"/>
    <w:rsid w:val="00E16357"/>
    <w:rsid w:val="00E16F86"/>
    <w:rsid w:val="00E174B2"/>
    <w:rsid w:val="00E2076F"/>
    <w:rsid w:val="00E212DE"/>
    <w:rsid w:val="00E22078"/>
    <w:rsid w:val="00E22612"/>
    <w:rsid w:val="00E2486A"/>
    <w:rsid w:val="00E27473"/>
    <w:rsid w:val="00E279C3"/>
    <w:rsid w:val="00E3260B"/>
    <w:rsid w:val="00E331BF"/>
    <w:rsid w:val="00E35499"/>
    <w:rsid w:val="00E35CE4"/>
    <w:rsid w:val="00E37186"/>
    <w:rsid w:val="00E37635"/>
    <w:rsid w:val="00E40AC3"/>
    <w:rsid w:val="00E43952"/>
    <w:rsid w:val="00E43FC9"/>
    <w:rsid w:val="00E44C1B"/>
    <w:rsid w:val="00E468A6"/>
    <w:rsid w:val="00E501BF"/>
    <w:rsid w:val="00E529EE"/>
    <w:rsid w:val="00E532C1"/>
    <w:rsid w:val="00E536A7"/>
    <w:rsid w:val="00E5420F"/>
    <w:rsid w:val="00E55FF2"/>
    <w:rsid w:val="00E56B81"/>
    <w:rsid w:val="00E57378"/>
    <w:rsid w:val="00E61212"/>
    <w:rsid w:val="00E61D26"/>
    <w:rsid w:val="00E62EEC"/>
    <w:rsid w:val="00E651CF"/>
    <w:rsid w:val="00E653C7"/>
    <w:rsid w:val="00E65CDC"/>
    <w:rsid w:val="00E664EB"/>
    <w:rsid w:val="00E70C34"/>
    <w:rsid w:val="00E71A03"/>
    <w:rsid w:val="00E73D22"/>
    <w:rsid w:val="00E77388"/>
    <w:rsid w:val="00E8326A"/>
    <w:rsid w:val="00E90333"/>
    <w:rsid w:val="00E919F1"/>
    <w:rsid w:val="00E92DEE"/>
    <w:rsid w:val="00E932CD"/>
    <w:rsid w:val="00E93428"/>
    <w:rsid w:val="00E934A7"/>
    <w:rsid w:val="00E94D25"/>
    <w:rsid w:val="00E9638B"/>
    <w:rsid w:val="00E973F2"/>
    <w:rsid w:val="00EA0785"/>
    <w:rsid w:val="00EA1C84"/>
    <w:rsid w:val="00EA2C53"/>
    <w:rsid w:val="00EA2D67"/>
    <w:rsid w:val="00EA30EA"/>
    <w:rsid w:val="00EA4D89"/>
    <w:rsid w:val="00EA4EC5"/>
    <w:rsid w:val="00EA5041"/>
    <w:rsid w:val="00EA558A"/>
    <w:rsid w:val="00EA59E1"/>
    <w:rsid w:val="00EA646C"/>
    <w:rsid w:val="00EB1370"/>
    <w:rsid w:val="00EB1F7C"/>
    <w:rsid w:val="00EB3F7E"/>
    <w:rsid w:val="00EB7888"/>
    <w:rsid w:val="00EC0142"/>
    <w:rsid w:val="00EC0352"/>
    <w:rsid w:val="00EC12C2"/>
    <w:rsid w:val="00EC2AE3"/>
    <w:rsid w:val="00EC49E5"/>
    <w:rsid w:val="00EC4EDE"/>
    <w:rsid w:val="00EC560E"/>
    <w:rsid w:val="00EC6BA7"/>
    <w:rsid w:val="00ED0479"/>
    <w:rsid w:val="00ED1272"/>
    <w:rsid w:val="00ED1CF1"/>
    <w:rsid w:val="00ED2F40"/>
    <w:rsid w:val="00ED4887"/>
    <w:rsid w:val="00ED67E0"/>
    <w:rsid w:val="00EE6841"/>
    <w:rsid w:val="00EE6A85"/>
    <w:rsid w:val="00EE6C78"/>
    <w:rsid w:val="00EE7D3F"/>
    <w:rsid w:val="00EF00CB"/>
    <w:rsid w:val="00EF2B62"/>
    <w:rsid w:val="00EF31DF"/>
    <w:rsid w:val="00EF3360"/>
    <w:rsid w:val="00EF55D5"/>
    <w:rsid w:val="00EF66EA"/>
    <w:rsid w:val="00F06974"/>
    <w:rsid w:val="00F07BB5"/>
    <w:rsid w:val="00F105F0"/>
    <w:rsid w:val="00F11779"/>
    <w:rsid w:val="00F120BC"/>
    <w:rsid w:val="00F12751"/>
    <w:rsid w:val="00F15B49"/>
    <w:rsid w:val="00F166B7"/>
    <w:rsid w:val="00F169C3"/>
    <w:rsid w:val="00F20872"/>
    <w:rsid w:val="00F20D03"/>
    <w:rsid w:val="00F214AF"/>
    <w:rsid w:val="00F21719"/>
    <w:rsid w:val="00F21952"/>
    <w:rsid w:val="00F224B0"/>
    <w:rsid w:val="00F22FB3"/>
    <w:rsid w:val="00F24165"/>
    <w:rsid w:val="00F24EB7"/>
    <w:rsid w:val="00F2636D"/>
    <w:rsid w:val="00F265ED"/>
    <w:rsid w:val="00F26A19"/>
    <w:rsid w:val="00F335D1"/>
    <w:rsid w:val="00F343C6"/>
    <w:rsid w:val="00F349FC"/>
    <w:rsid w:val="00F34BE0"/>
    <w:rsid w:val="00F358BA"/>
    <w:rsid w:val="00F36879"/>
    <w:rsid w:val="00F4199B"/>
    <w:rsid w:val="00F438EA"/>
    <w:rsid w:val="00F45B98"/>
    <w:rsid w:val="00F47D6C"/>
    <w:rsid w:val="00F504B2"/>
    <w:rsid w:val="00F51E24"/>
    <w:rsid w:val="00F567D1"/>
    <w:rsid w:val="00F5749B"/>
    <w:rsid w:val="00F57679"/>
    <w:rsid w:val="00F613CA"/>
    <w:rsid w:val="00F61A77"/>
    <w:rsid w:val="00F62CE0"/>
    <w:rsid w:val="00F6370A"/>
    <w:rsid w:val="00F679AA"/>
    <w:rsid w:val="00F67C4B"/>
    <w:rsid w:val="00F72B08"/>
    <w:rsid w:val="00F73D57"/>
    <w:rsid w:val="00F74072"/>
    <w:rsid w:val="00F74376"/>
    <w:rsid w:val="00F74B8D"/>
    <w:rsid w:val="00F75635"/>
    <w:rsid w:val="00F81619"/>
    <w:rsid w:val="00F821EB"/>
    <w:rsid w:val="00F83B7C"/>
    <w:rsid w:val="00F84F25"/>
    <w:rsid w:val="00F84F48"/>
    <w:rsid w:val="00F87123"/>
    <w:rsid w:val="00F8765B"/>
    <w:rsid w:val="00F879A2"/>
    <w:rsid w:val="00F90B9D"/>
    <w:rsid w:val="00F9151B"/>
    <w:rsid w:val="00F91D00"/>
    <w:rsid w:val="00F9252E"/>
    <w:rsid w:val="00F92C59"/>
    <w:rsid w:val="00F93886"/>
    <w:rsid w:val="00F93BB1"/>
    <w:rsid w:val="00F9473E"/>
    <w:rsid w:val="00F975A0"/>
    <w:rsid w:val="00FA4921"/>
    <w:rsid w:val="00FA5636"/>
    <w:rsid w:val="00FA5E6D"/>
    <w:rsid w:val="00FA6BA2"/>
    <w:rsid w:val="00FB078A"/>
    <w:rsid w:val="00FB1DE6"/>
    <w:rsid w:val="00FB2BEC"/>
    <w:rsid w:val="00FB31D3"/>
    <w:rsid w:val="00FB3717"/>
    <w:rsid w:val="00FB3998"/>
    <w:rsid w:val="00FB511E"/>
    <w:rsid w:val="00FB55FC"/>
    <w:rsid w:val="00FB5F5C"/>
    <w:rsid w:val="00FB657C"/>
    <w:rsid w:val="00FB71E9"/>
    <w:rsid w:val="00FC08E9"/>
    <w:rsid w:val="00FC0A49"/>
    <w:rsid w:val="00FC2E65"/>
    <w:rsid w:val="00FC3F67"/>
    <w:rsid w:val="00FC4B22"/>
    <w:rsid w:val="00FC4C34"/>
    <w:rsid w:val="00FC740B"/>
    <w:rsid w:val="00FC77A3"/>
    <w:rsid w:val="00FC7BDD"/>
    <w:rsid w:val="00FD09DF"/>
    <w:rsid w:val="00FD1CF2"/>
    <w:rsid w:val="00FD29FA"/>
    <w:rsid w:val="00FD2F1F"/>
    <w:rsid w:val="00FD3AD1"/>
    <w:rsid w:val="00FD5701"/>
    <w:rsid w:val="00FD5713"/>
    <w:rsid w:val="00FD658A"/>
    <w:rsid w:val="00FE08B3"/>
    <w:rsid w:val="00FE1174"/>
    <w:rsid w:val="00FE361F"/>
    <w:rsid w:val="00FE495F"/>
    <w:rsid w:val="00FF09FE"/>
    <w:rsid w:val="00FF1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uiPriority w:val="99"/>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carebulletin.cmail20.com/t/d-l-vuizkt-tluhhdhyld-i/" TargetMode="External"/><Relationship Id="rId18" Type="http://schemas.openxmlformats.org/officeDocument/2006/relationships/hyperlink" Target="https://www.bma.org.uk/advice-and-support/gp-practic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nhs.us5.list-manage.com/track/click?u=fc496e37a02fff5979483df7e&amp;id=df3f9c581a&amp;e=f358f93361" TargetMode="External"/><Relationship Id="rId17" Type="http://schemas.openxmlformats.org/officeDocument/2006/relationships/hyperlink" Target="mailto:birmingham.lmc@nhs.net" TargetMode="External"/><Relationship Id="rId2" Type="http://schemas.openxmlformats.org/officeDocument/2006/relationships/customXml" Target="../customXml/item2.xml"/><Relationship Id="rId16" Type="http://schemas.openxmlformats.org/officeDocument/2006/relationships/hyperlink" Target="https://primarycarebulletin.cmail20.com/t/d-l-vuizkt-tluhhdhyld-a/" TargetMode="External"/><Relationship Id="rId20" Type="http://schemas.openxmlformats.org/officeDocument/2006/relationships/hyperlink" Target="https://www.england.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hs.us5.list-manage.com/track/click?u=fc496e37a02fff5979483df7e&amp;id=aea59b31b5&amp;e=f358f9336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rimarycarebulletin.cmail20.com/t/d-l-vuizkt-tluhhdhyld-h/"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coronavir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marycarebulletin.cmail20.com/t/d-l-vuizkt-tluhhdhyld-d/"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ecbdd6cfaa47f63746e38e14cd738025">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a73f719af26d9a3b29f25a05656af319"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2.xml><?xml version="1.0" encoding="utf-8"?>
<ds:datastoreItem xmlns:ds="http://schemas.openxmlformats.org/officeDocument/2006/customXml" ds:itemID="{F477326E-C3CA-4F30-A23B-13744F25F6FA}"/>
</file>

<file path=customXml/itemProps3.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2024-01-23T10:58:00Z</dcterms:created>
  <dcterms:modified xsi:type="dcterms:W3CDTF">2024-01-23T10:58:00Z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