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5A5D468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A60695">
                              <w:rPr>
                                <w:b/>
                                <w:bCs/>
                                <w:i/>
                                <w:iCs/>
                                <w:color w:val="4472C4" w:themeColor="accent1"/>
                                <w:sz w:val="44"/>
                                <w:szCs w:val="44"/>
                              </w:rPr>
                              <w:t>11</w:t>
                            </w:r>
                            <w:r w:rsidR="00D45E82" w:rsidRPr="00D45E82">
                              <w:rPr>
                                <w:b/>
                                <w:bCs/>
                                <w:i/>
                                <w:iCs/>
                                <w:color w:val="4472C4" w:themeColor="accent1"/>
                                <w:sz w:val="44"/>
                                <w:szCs w:val="44"/>
                                <w:vertAlign w:val="superscript"/>
                              </w:rPr>
                              <w:t>th</w:t>
                            </w:r>
                            <w:r w:rsidR="00D45E82">
                              <w:rPr>
                                <w:b/>
                                <w:bCs/>
                                <w:i/>
                                <w:iCs/>
                                <w:color w:val="4472C4" w:themeColor="accent1"/>
                                <w:sz w:val="44"/>
                                <w:szCs w:val="44"/>
                              </w:rPr>
                              <w:t xml:space="preserve"> of April</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5A5D468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A60695">
                        <w:rPr>
                          <w:b/>
                          <w:bCs/>
                          <w:i/>
                          <w:iCs/>
                          <w:color w:val="4472C4" w:themeColor="accent1"/>
                          <w:sz w:val="44"/>
                          <w:szCs w:val="44"/>
                        </w:rPr>
                        <w:t>11</w:t>
                      </w:r>
                      <w:r w:rsidR="00D45E82" w:rsidRPr="00D45E82">
                        <w:rPr>
                          <w:b/>
                          <w:bCs/>
                          <w:i/>
                          <w:iCs/>
                          <w:color w:val="4472C4" w:themeColor="accent1"/>
                          <w:sz w:val="44"/>
                          <w:szCs w:val="44"/>
                          <w:vertAlign w:val="superscript"/>
                        </w:rPr>
                        <w:t>th</w:t>
                      </w:r>
                      <w:r w:rsidR="00D45E82">
                        <w:rPr>
                          <w:b/>
                          <w:bCs/>
                          <w:i/>
                          <w:iCs/>
                          <w:color w:val="4472C4" w:themeColor="accent1"/>
                          <w:sz w:val="44"/>
                          <w:szCs w:val="44"/>
                        </w:rPr>
                        <w:t xml:space="preserve"> of April</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Default="000B5C60" w:rsidP="00587D9E">
      <w:pPr>
        <w:spacing w:after="0"/>
        <w:textAlignment w:val="baseline"/>
        <w:rPr>
          <w:rFonts w:cstheme="minorHAnsi"/>
        </w:rPr>
      </w:pPr>
    </w:p>
    <w:p w14:paraId="6ECE0706" w14:textId="77777777" w:rsidR="00286198" w:rsidRDefault="00286198" w:rsidP="00587D9E">
      <w:pPr>
        <w:spacing w:after="0"/>
        <w:textAlignment w:val="baseline"/>
        <w:rPr>
          <w:rFonts w:cstheme="minorHAnsi"/>
        </w:rPr>
      </w:pPr>
    </w:p>
    <w:p w14:paraId="4EED9FCE" w14:textId="77777777" w:rsidR="00286198" w:rsidRDefault="00286198" w:rsidP="00587D9E">
      <w:pPr>
        <w:spacing w:after="0"/>
        <w:textAlignment w:val="baseline"/>
        <w:rPr>
          <w:rFonts w:cstheme="minorHAnsi"/>
        </w:rPr>
      </w:pPr>
    </w:p>
    <w:p w14:paraId="0010E4BB" w14:textId="77777777" w:rsidR="00286198" w:rsidRPr="00286198" w:rsidRDefault="00286198" w:rsidP="00587D9E">
      <w:pPr>
        <w:spacing w:after="0"/>
        <w:textAlignment w:val="baseline"/>
        <w:rPr>
          <w:rFonts w:cstheme="minorHAnsi"/>
          <w:b/>
          <w:bCs/>
          <w:color w:val="2F5496" w:themeColor="accent1" w:themeShade="BF"/>
        </w:rPr>
      </w:pPr>
    </w:p>
    <w:p w14:paraId="4963FD74" w14:textId="77777777" w:rsidR="00C741E5" w:rsidRPr="00286198" w:rsidRDefault="00C741E5" w:rsidP="00587D9E">
      <w:pPr>
        <w:spacing w:after="0"/>
        <w:textAlignment w:val="baseline"/>
        <w:rPr>
          <w:rFonts w:cstheme="minorHAnsi"/>
          <w:b/>
          <w:bCs/>
          <w:color w:val="2F5496" w:themeColor="accent1" w:themeShade="BF"/>
          <w:sz w:val="24"/>
          <w:szCs w:val="24"/>
        </w:rPr>
      </w:pPr>
    </w:p>
    <w:bookmarkStart w:id="0" w:name="NO5"/>
    <w:bookmarkEnd w:id="0"/>
    <w:p w14:paraId="5AB87845" w14:textId="08DC8E43" w:rsidR="00C741E5" w:rsidRPr="00286198" w:rsidRDefault="00286198" w:rsidP="00F324BF">
      <w:pPr>
        <w:pStyle w:val="ListParagraph"/>
        <w:numPr>
          <w:ilvl w:val="0"/>
          <w:numId w:val="32"/>
        </w:numPr>
        <w:spacing w:after="0"/>
        <w:textAlignment w:val="baseline"/>
        <w:rPr>
          <w:rFonts w:cstheme="minorHAnsi"/>
          <w:b/>
          <w:bCs/>
          <w:color w:val="2F5496" w:themeColor="accent1" w:themeShade="BF"/>
          <w:sz w:val="24"/>
          <w:szCs w:val="24"/>
        </w:rPr>
      </w:pPr>
      <w:r w:rsidRPr="00286198">
        <w:rPr>
          <w:rFonts w:cstheme="minorHAnsi"/>
          <w:b/>
          <w:bCs/>
          <w:color w:val="2F5496" w:themeColor="accent1" w:themeShade="BF"/>
          <w:sz w:val="24"/>
          <w:szCs w:val="24"/>
        </w:rPr>
        <w:fldChar w:fldCharType="begin"/>
      </w:r>
      <w:r w:rsidRPr="00286198">
        <w:rPr>
          <w:rFonts w:cstheme="minorHAnsi"/>
          <w:b/>
          <w:bCs/>
          <w:color w:val="2F5496" w:themeColor="accent1" w:themeShade="BF"/>
          <w:sz w:val="24"/>
          <w:szCs w:val="24"/>
        </w:rPr>
        <w:instrText>HYPERLINK  \l "NO1"</w:instrText>
      </w:r>
      <w:r w:rsidRPr="00286198">
        <w:rPr>
          <w:rFonts w:cstheme="minorHAnsi"/>
          <w:b/>
          <w:bCs/>
          <w:color w:val="2F5496" w:themeColor="accent1" w:themeShade="BF"/>
          <w:sz w:val="24"/>
          <w:szCs w:val="24"/>
        </w:rPr>
      </w:r>
      <w:r w:rsidRPr="00286198">
        <w:rPr>
          <w:rFonts w:cstheme="minorHAnsi"/>
          <w:b/>
          <w:bCs/>
          <w:color w:val="2F5496" w:themeColor="accent1" w:themeShade="BF"/>
          <w:sz w:val="24"/>
          <w:szCs w:val="24"/>
        </w:rPr>
        <w:fldChar w:fldCharType="separate"/>
      </w:r>
      <w:r w:rsidR="00F324BF" w:rsidRPr="00286198">
        <w:rPr>
          <w:rStyle w:val="Hyperlink"/>
          <w:rFonts w:cstheme="minorHAnsi"/>
          <w:b/>
          <w:bCs/>
          <w:color w:val="2F5496" w:themeColor="accent1" w:themeShade="BF"/>
          <w:sz w:val="24"/>
          <w:szCs w:val="24"/>
        </w:rPr>
        <w:t>New Attention Deficit Hyperacti</w:t>
      </w:r>
      <w:r w:rsidR="009C15CB" w:rsidRPr="00286198">
        <w:rPr>
          <w:rStyle w:val="Hyperlink"/>
          <w:rFonts w:cstheme="minorHAnsi"/>
          <w:b/>
          <w:bCs/>
          <w:color w:val="2F5496" w:themeColor="accent1" w:themeShade="BF"/>
          <w:sz w:val="24"/>
          <w:szCs w:val="24"/>
        </w:rPr>
        <w:t>vity Disorder (ADHD) Taskforce to be set up</w:t>
      </w:r>
      <w:r w:rsidRPr="00286198">
        <w:rPr>
          <w:rFonts w:cstheme="minorHAnsi"/>
          <w:b/>
          <w:bCs/>
          <w:color w:val="2F5496" w:themeColor="accent1" w:themeShade="BF"/>
          <w:sz w:val="24"/>
          <w:szCs w:val="24"/>
        </w:rPr>
        <w:fldChar w:fldCharType="end"/>
      </w:r>
    </w:p>
    <w:p w14:paraId="701AE6B0" w14:textId="4C12B251" w:rsidR="009C15CB" w:rsidRPr="00286198" w:rsidRDefault="00286198" w:rsidP="00F324BF">
      <w:pPr>
        <w:pStyle w:val="ListParagraph"/>
        <w:numPr>
          <w:ilvl w:val="0"/>
          <w:numId w:val="32"/>
        </w:numPr>
        <w:spacing w:after="0"/>
        <w:textAlignment w:val="baseline"/>
        <w:rPr>
          <w:rFonts w:cstheme="minorHAnsi"/>
          <w:b/>
          <w:bCs/>
          <w:color w:val="2F5496" w:themeColor="accent1" w:themeShade="BF"/>
          <w:sz w:val="24"/>
          <w:szCs w:val="24"/>
        </w:rPr>
      </w:pPr>
      <w:hyperlink w:anchor="NO2" w:history="1">
        <w:r w:rsidR="009C15CB" w:rsidRPr="00286198">
          <w:rPr>
            <w:rStyle w:val="Hyperlink"/>
            <w:rFonts w:cstheme="minorHAnsi"/>
            <w:b/>
            <w:bCs/>
            <w:color w:val="2F5496" w:themeColor="accent1" w:themeShade="BF"/>
            <w:sz w:val="24"/>
            <w:szCs w:val="24"/>
          </w:rPr>
          <w:t>Message from GPC England Chair – Referendum</w:t>
        </w:r>
      </w:hyperlink>
      <w:r w:rsidR="009C15CB" w:rsidRPr="00286198">
        <w:rPr>
          <w:rFonts w:cstheme="minorHAnsi"/>
          <w:b/>
          <w:bCs/>
          <w:color w:val="2F5496" w:themeColor="accent1" w:themeShade="BF"/>
          <w:sz w:val="24"/>
          <w:szCs w:val="24"/>
        </w:rPr>
        <w:t xml:space="preserve"> </w:t>
      </w:r>
    </w:p>
    <w:p w14:paraId="53E50E46" w14:textId="2C835A8A" w:rsidR="009C15CB" w:rsidRPr="00286198" w:rsidRDefault="00286198" w:rsidP="00F324BF">
      <w:pPr>
        <w:pStyle w:val="ListParagraph"/>
        <w:numPr>
          <w:ilvl w:val="0"/>
          <w:numId w:val="32"/>
        </w:numPr>
        <w:spacing w:after="0"/>
        <w:textAlignment w:val="baseline"/>
        <w:rPr>
          <w:rFonts w:cstheme="minorHAnsi"/>
          <w:b/>
          <w:bCs/>
          <w:color w:val="2F5496" w:themeColor="accent1" w:themeShade="BF"/>
          <w:sz w:val="24"/>
          <w:szCs w:val="24"/>
        </w:rPr>
      </w:pPr>
      <w:hyperlink w:anchor="NO3" w:history="1">
        <w:r w:rsidR="009C15CB" w:rsidRPr="00286198">
          <w:rPr>
            <w:rStyle w:val="Hyperlink"/>
            <w:rFonts w:cstheme="minorHAnsi"/>
            <w:b/>
            <w:bCs/>
            <w:color w:val="2F5496" w:themeColor="accent1" w:themeShade="BF"/>
            <w:sz w:val="24"/>
            <w:szCs w:val="24"/>
          </w:rPr>
          <w:t>BMA guidance on physician associates</w:t>
        </w:r>
      </w:hyperlink>
      <w:r w:rsidR="009C15CB" w:rsidRPr="00286198">
        <w:rPr>
          <w:rFonts w:cstheme="minorHAnsi"/>
          <w:b/>
          <w:bCs/>
          <w:color w:val="2F5496" w:themeColor="accent1" w:themeShade="BF"/>
          <w:sz w:val="24"/>
          <w:szCs w:val="24"/>
        </w:rPr>
        <w:t xml:space="preserve"> </w:t>
      </w:r>
    </w:p>
    <w:p w14:paraId="3CFB0227" w14:textId="04EEF45D" w:rsidR="009C15CB" w:rsidRPr="00286198" w:rsidRDefault="00286198" w:rsidP="00F324BF">
      <w:pPr>
        <w:pStyle w:val="ListParagraph"/>
        <w:numPr>
          <w:ilvl w:val="0"/>
          <w:numId w:val="32"/>
        </w:numPr>
        <w:spacing w:after="0"/>
        <w:textAlignment w:val="baseline"/>
        <w:rPr>
          <w:rFonts w:cstheme="minorHAnsi"/>
          <w:b/>
          <w:bCs/>
          <w:color w:val="2F5496" w:themeColor="accent1" w:themeShade="BF"/>
          <w:sz w:val="24"/>
          <w:szCs w:val="24"/>
        </w:rPr>
      </w:pPr>
      <w:hyperlink w:anchor="NO4" w:history="1">
        <w:r w:rsidR="00096550" w:rsidRPr="00286198">
          <w:rPr>
            <w:rStyle w:val="Hyperlink"/>
            <w:rFonts w:cstheme="minorHAnsi"/>
            <w:b/>
            <w:bCs/>
            <w:color w:val="2F5496" w:themeColor="accent1" w:themeShade="BF"/>
            <w:sz w:val="24"/>
            <w:szCs w:val="24"/>
          </w:rPr>
          <w:t>Delivery Plan for Recovering Access to Primary Care: Giving patients online access to new GP health record entr</w:t>
        </w:r>
        <w:r w:rsidRPr="00286198">
          <w:rPr>
            <w:rStyle w:val="Hyperlink"/>
            <w:rFonts w:cstheme="minorHAnsi"/>
            <w:b/>
            <w:bCs/>
            <w:color w:val="2F5496" w:themeColor="accent1" w:themeShade="BF"/>
            <w:sz w:val="24"/>
            <w:szCs w:val="24"/>
          </w:rPr>
          <w:t>ies</w:t>
        </w:r>
      </w:hyperlink>
      <w:r w:rsidRPr="00286198">
        <w:rPr>
          <w:rFonts w:cstheme="minorHAnsi"/>
          <w:b/>
          <w:bCs/>
          <w:color w:val="2F5496" w:themeColor="accent1" w:themeShade="BF"/>
          <w:sz w:val="24"/>
          <w:szCs w:val="24"/>
        </w:rPr>
        <w:t xml:space="preserve"> </w:t>
      </w:r>
    </w:p>
    <w:p w14:paraId="678CA318" w14:textId="77777777" w:rsidR="00A60695" w:rsidRDefault="00A60695" w:rsidP="00587D9E">
      <w:pPr>
        <w:spacing w:after="0"/>
        <w:textAlignment w:val="baseline"/>
        <w:rPr>
          <w:rFonts w:cstheme="minorHAnsi"/>
          <w:sz w:val="24"/>
          <w:szCs w:val="24"/>
        </w:rPr>
      </w:pPr>
    </w:p>
    <w:p w14:paraId="223788B0" w14:textId="77777777" w:rsidR="00A60695" w:rsidRDefault="00A60695" w:rsidP="00587D9E">
      <w:pPr>
        <w:spacing w:after="0"/>
        <w:textAlignment w:val="baseline"/>
        <w:rPr>
          <w:rFonts w:cstheme="minorHAnsi"/>
          <w:sz w:val="24"/>
          <w:szCs w:val="24"/>
        </w:rPr>
      </w:pPr>
    </w:p>
    <w:p w14:paraId="1EA5EF31" w14:textId="77777777" w:rsidR="00A60695" w:rsidRDefault="00A60695" w:rsidP="00587D9E">
      <w:pPr>
        <w:spacing w:after="0"/>
        <w:textAlignment w:val="baseline"/>
        <w:rPr>
          <w:rFonts w:cstheme="minorHAnsi"/>
          <w:sz w:val="24"/>
          <w:szCs w:val="24"/>
        </w:rPr>
      </w:pPr>
    </w:p>
    <w:p w14:paraId="525D662F" w14:textId="77777777" w:rsidR="00A60695" w:rsidRDefault="00A60695" w:rsidP="00587D9E">
      <w:pPr>
        <w:spacing w:after="0"/>
        <w:textAlignment w:val="baseline"/>
        <w:rPr>
          <w:rFonts w:cstheme="minorHAnsi"/>
          <w:sz w:val="24"/>
          <w:szCs w:val="24"/>
        </w:rPr>
      </w:pPr>
    </w:p>
    <w:p w14:paraId="1D581E87" w14:textId="77777777" w:rsidR="00A60695" w:rsidRDefault="00A60695" w:rsidP="00587D9E">
      <w:pPr>
        <w:spacing w:after="0"/>
        <w:textAlignment w:val="baseline"/>
        <w:rPr>
          <w:rFonts w:cstheme="minorHAnsi"/>
          <w:sz w:val="24"/>
          <w:szCs w:val="24"/>
        </w:rPr>
      </w:pPr>
    </w:p>
    <w:p w14:paraId="586C8E30" w14:textId="77777777" w:rsidR="00A60695" w:rsidRDefault="00A60695" w:rsidP="00587D9E">
      <w:pPr>
        <w:spacing w:after="0"/>
        <w:textAlignment w:val="baseline"/>
        <w:rPr>
          <w:rFonts w:cstheme="minorHAnsi"/>
          <w:sz w:val="24"/>
          <w:szCs w:val="24"/>
        </w:rPr>
      </w:pPr>
    </w:p>
    <w:p w14:paraId="70CD9E8C" w14:textId="77777777" w:rsidR="00A60695" w:rsidRDefault="00A60695" w:rsidP="00587D9E">
      <w:pPr>
        <w:spacing w:after="0"/>
        <w:textAlignment w:val="baseline"/>
        <w:rPr>
          <w:rFonts w:cstheme="minorHAnsi"/>
          <w:sz w:val="24"/>
          <w:szCs w:val="24"/>
        </w:rPr>
      </w:pPr>
    </w:p>
    <w:p w14:paraId="3F90194A" w14:textId="77777777" w:rsidR="00A60695" w:rsidRDefault="00A60695" w:rsidP="00587D9E">
      <w:pPr>
        <w:spacing w:after="0"/>
        <w:textAlignment w:val="baseline"/>
        <w:rPr>
          <w:rFonts w:cstheme="minorHAnsi"/>
          <w:sz w:val="24"/>
          <w:szCs w:val="24"/>
        </w:rPr>
      </w:pPr>
    </w:p>
    <w:p w14:paraId="70391137" w14:textId="77777777" w:rsidR="00A60695" w:rsidRDefault="00A60695" w:rsidP="00587D9E">
      <w:pPr>
        <w:spacing w:after="0"/>
        <w:textAlignment w:val="baseline"/>
        <w:rPr>
          <w:rFonts w:cstheme="minorHAnsi"/>
          <w:sz w:val="24"/>
          <w:szCs w:val="24"/>
        </w:rPr>
      </w:pPr>
    </w:p>
    <w:p w14:paraId="04B42EC3" w14:textId="77777777" w:rsidR="00A60695" w:rsidRDefault="00A60695" w:rsidP="00587D9E">
      <w:pPr>
        <w:spacing w:after="0"/>
        <w:textAlignment w:val="baseline"/>
        <w:rPr>
          <w:rFonts w:cstheme="minorHAnsi"/>
          <w:sz w:val="24"/>
          <w:szCs w:val="24"/>
        </w:rPr>
      </w:pPr>
    </w:p>
    <w:p w14:paraId="7E06089B" w14:textId="77777777" w:rsidR="00A60695" w:rsidRDefault="00A60695" w:rsidP="00587D9E">
      <w:pPr>
        <w:spacing w:after="0"/>
        <w:textAlignment w:val="baseline"/>
        <w:rPr>
          <w:rFonts w:cstheme="minorHAnsi"/>
          <w:sz w:val="24"/>
          <w:szCs w:val="24"/>
        </w:rPr>
      </w:pPr>
    </w:p>
    <w:p w14:paraId="37F9BCC9" w14:textId="77777777" w:rsidR="00A60695" w:rsidRDefault="00A60695" w:rsidP="00587D9E">
      <w:pPr>
        <w:spacing w:after="0"/>
        <w:textAlignment w:val="baseline"/>
        <w:rPr>
          <w:rFonts w:cstheme="minorHAnsi"/>
          <w:sz w:val="24"/>
          <w:szCs w:val="24"/>
        </w:rPr>
      </w:pPr>
    </w:p>
    <w:p w14:paraId="2C4536F1" w14:textId="77777777" w:rsidR="00A60695" w:rsidRDefault="00A60695" w:rsidP="00587D9E">
      <w:pPr>
        <w:spacing w:after="0"/>
        <w:textAlignment w:val="baseline"/>
        <w:rPr>
          <w:rFonts w:cstheme="minorHAnsi"/>
          <w:sz w:val="24"/>
          <w:szCs w:val="24"/>
        </w:rPr>
      </w:pPr>
    </w:p>
    <w:p w14:paraId="66298A79" w14:textId="77777777" w:rsidR="00A60695" w:rsidRDefault="00A60695" w:rsidP="00587D9E">
      <w:pPr>
        <w:spacing w:after="0"/>
        <w:textAlignment w:val="baseline"/>
        <w:rPr>
          <w:rFonts w:cstheme="minorHAnsi"/>
          <w:sz w:val="24"/>
          <w:szCs w:val="24"/>
        </w:rPr>
      </w:pPr>
    </w:p>
    <w:p w14:paraId="67811D85" w14:textId="77777777" w:rsidR="00A60695" w:rsidRDefault="00A60695" w:rsidP="00587D9E">
      <w:pPr>
        <w:spacing w:after="0"/>
        <w:textAlignment w:val="baseline"/>
        <w:rPr>
          <w:rFonts w:cstheme="minorHAnsi"/>
          <w:sz w:val="24"/>
          <w:szCs w:val="24"/>
        </w:rPr>
      </w:pPr>
    </w:p>
    <w:p w14:paraId="4AD7F3EC" w14:textId="7099EAD1" w:rsidR="00616A8C" w:rsidRDefault="00616A8C" w:rsidP="00616A8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Style w:val="Strong"/>
          <w:color w:val="030303"/>
          <w:position w:val="17"/>
        </w:rPr>
      </w:pPr>
      <w:bookmarkStart w:id="1" w:name="NO1"/>
      <w:r>
        <w:rPr>
          <w:rStyle w:val="Strong"/>
          <w:color w:val="030303"/>
          <w:position w:val="17"/>
        </w:rPr>
        <w:t>1.</w:t>
      </w:r>
      <w:r w:rsidRPr="00616A8C">
        <w:rPr>
          <w:rStyle w:val="Strong"/>
          <w:color w:val="030303"/>
          <w:position w:val="17"/>
        </w:rPr>
        <w:t>New Attention Deficit Hyperactivity Disorder (ADHD) Taskforce to be set up</w:t>
      </w:r>
    </w:p>
    <w:bookmarkEnd w:id="1"/>
    <w:p w14:paraId="4806EBFA" w14:textId="77777777" w:rsidR="00616A8C" w:rsidRPr="00616A8C" w:rsidRDefault="00616A8C" w:rsidP="00616A8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p>
    <w:p w14:paraId="25DA52EE" w14:textId="37B4631D" w:rsidR="00847A84" w:rsidRPr="009C15CB" w:rsidRDefault="00616A8C" w:rsidP="009C15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rPr>
      </w:pPr>
      <w:r w:rsidRPr="00616A8C">
        <w:rPr>
          <w:rFonts w:ascii="Calibri" w:hAnsi="Calibri" w:cs="Calibri"/>
          <w:color w:val="030303"/>
          <w:position w:val="17"/>
        </w:rPr>
        <w:t xml:space="preserve">NHS England is establishing a taskforce to look at attention deficit hyperactivity disorder (ADHD) service provision and its impact on patient experience. The </w:t>
      </w:r>
      <w:hyperlink r:id="rId11" w:history="1">
        <w:r w:rsidRPr="00616A8C">
          <w:rPr>
            <w:rStyle w:val="Hyperlink"/>
            <w:rFonts w:ascii="Calibri" w:hAnsi="Calibri" w:cs="Calibri"/>
            <w:color w:val="005EB8"/>
            <w:position w:val="17"/>
          </w:rPr>
          <w:t>NHS England-led taskforce</w:t>
        </w:r>
      </w:hyperlink>
      <w:r w:rsidRPr="00616A8C">
        <w:rPr>
          <w:rFonts w:ascii="Calibri" w:hAnsi="Calibri" w:cs="Calibri"/>
          <w:color w:val="030303"/>
          <w:position w:val="17"/>
        </w:rPr>
        <w:t xml:space="preserve"> will engage widely, including with primary care, the education, care, health and criminal justice sectors, to reflect the fact that tackling the problems people with ADHD experience will need a joined-up approach.</w:t>
      </w:r>
    </w:p>
    <w:p w14:paraId="2FD47B8F" w14:textId="77777777" w:rsidR="00A60695" w:rsidRDefault="00A60695" w:rsidP="00587D9E">
      <w:pPr>
        <w:spacing w:after="0"/>
        <w:textAlignment w:val="baseline"/>
        <w:rPr>
          <w:rFonts w:cstheme="minorHAnsi"/>
          <w:sz w:val="24"/>
          <w:szCs w:val="24"/>
        </w:rPr>
      </w:pPr>
    </w:p>
    <w:p w14:paraId="2A909B44" w14:textId="77777777" w:rsidR="009C15CB" w:rsidRDefault="009C15CB" w:rsidP="00587D9E">
      <w:pPr>
        <w:spacing w:after="0"/>
        <w:textAlignment w:val="baseline"/>
        <w:rPr>
          <w:rFonts w:cstheme="minorHAnsi"/>
          <w:sz w:val="24"/>
          <w:szCs w:val="24"/>
        </w:rPr>
      </w:pPr>
    </w:p>
    <w:p w14:paraId="301A84FF" w14:textId="77777777" w:rsidR="009C15CB" w:rsidRDefault="009C15CB" w:rsidP="00587D9E">
      <w:pPr>
        <w:spacing w:after="0"/>
        <w:textAlignment w:val="baseline"/>
        <w:rPr>
          <w:rFonts w:cstheme="minorHAnsi"/>
          <w:sz w:val="24"/>
          <w:szCs w:val="24"/>
        </w:rPr>
      </w:pPr>
    </w:p>
    <w:p w14:paraId="5C29ADE2" w14:textId="5E3341D0"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bookmarkStart w:id="2" w:name="NO2"/>
      <w:r>
        <w:rPr>
          <w:rFonts w:eastAsiaTheme="minorEastAsia"/>
          <w:b/>
          <w:bCs/>
        </w:rPr>
        <w:t>2</w:t>
      </w:r>
      <w:r w:rsidRPr="006D6D5B">
        <w:rPr>
          <w:rFonts w:eastAsiaTheme="minorEastAsia"/>
          <w:b/>
          <w:bCs/>
        </w:rPr>
        <w:t>.Message from GPC England Chair – Referendum</w:t>
      </w:r>
    </w:p>
    <w:bookmarkEnd w:id="2"/>
    <w:p w14:paraId="1E88E1F1" w14:textId="520F6126"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On behalf of GPC England, I want to thank every single GP and GP registrar across the country who took part in our referendum. Let us not forget, this referendum wasn’t even a ballot, it was merely a dress rehearsal for what’s around the corner. Either way, had it been a ballot, it would have comfortably passed the required thresholds.</w:t>
      </w:r>
    </w:p>
    <w:p w14:paraId="22CCC40D" w14:textId="3A022330"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This referendum was a temperature check of the profession - and make no mistake - in the week where we have a third consecutive contract imposition, we are at boiling point. I’m overwhelmed to share the result that more than 99.2% of you have voted firmly against this contract. This is an unequivocal result that will demand NHS England, the Department of Health and Social Care, Government, and other parties now sit up and take notice.</w:t>
      </w:r>
    </w:p>
    <w:p w14:paraId="5ABDA315" w14:textId="1D3767A5"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It is now clear that we are one profession, which has spoken with one voice and said enough - time’s up. This contract imposition does not give practices stability. It does not give us hope. This contract, which NHSE are choosing to impose upon us, is not safe.</w:t>
      </w:r>
    </w:p>
    <w:p w14:paraId="2DED40CB" w14:textId="6825F7CD"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The contract changes, which will be imposed by the Government and NHS England from 1 April 2024, include a national practice contract baseline funding uplift of just £179m for England’s general practices, way below inflation in recent years, meaning many practices will struggle to stay financially viable over the next six to 12 months and risk closure.</w:t>
      </w:r>
    </w:p>
    <w:p w14:paraId="59876C5E" w14:textId="7CE9943E"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 xml:space="preserve">The day after the referendum closed, GPC England met to decide and determine the next steps we’ll be taking as a profession knowing you’re standing right behind us. We are now starting to receive the full dataset and results breakdown from </w:t>
      </w:r>
      <w:proofErr w:type="spellStart"/>
      <w:r w:rsidRPr="006D6D5B">
        <w:rPr>
          <w:rFonts w:eastAsiaTheme="minorEastAsia"/>
        </w:rPr>
        <w:t>Civica</w:t>
      </w:r>
      <w:proofErr w:type="spellEnd"/>
      <w:r w:rsidRPr="006D6D5B">
        <w:rPr>
          <w:rFonts w:eastAsiaTheme="minorEastAsia"/>
        </w:rPr>
        <w:t>, and we’ll share that with you in due course too. </w:t>
      </w:r>
    </w:p>
    <w:p w14:paraId="4EA7C486" w14:textId="72C4322B"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When I qualified as a GP in 2008, we were called the ‘jewel in the crown of the NHS’. General practice has been demeaned, diminished, diluted, bullied and gaslit long enough. We now start the fight back, bringing our patients with us. Patients want access to their family doctor in a surgery that feels safe, with a well-resourced team ready to meet the needs of our communities, and that’s what we want too. </w:t>
      </w:r>
    </w:p>
    <w:p w14:paraId="32486075" w14:textId="002436DA"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We are the bedrock upon which the rest of the NHS stands, with 400 million patient contacts a year. Almost 1.4 million every single day. That’s a lot of voters. </w:t>
      </w:r>
    </w:p>
    <w:p w14:paraId="7DB4260E" w14:textId="3209540A"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proofErr w:type="gramStart"/>
      <w:r w:rsidRPr="006D6D5B">
        <w:rPr>
          <w:rFonts w:eastAsiaTheme="minorEastAsia"/>
        </w:rPr>
        <w:t>So</w:t>
      </w:r>
      <w:proofErr w:type="gramEnd"/>
      <w:r w:rsidRPr="006D6D5B">
        <w:rPr>
          <w:rFonts w:eastAsiaTheme="minorEastAsia"/>
        </w:rPr>
        <w:t xml:space="preserve"> congratulations, ‘team GP’. The battle to save general practice has begun. I’m proud to represent you, and I know that your BMA committee, GPC England, is proud to serve you. </w:t>
      </w:r>
    </w:p>
    <w:p w14:paraId="3B1184E3" w14:textId="2EB4FC64"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We will be in touch soon with more information, guidance on the 2024/25 contract and next steps for us all.</w:t>
      </w:r>
    </w:p>
    <w:p w14:paraId="2A23CF63" w14:textId="77777777"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 xml:space="preserve">Watch my video about the GP contract referendum results: </w:t>
      </w:r>
      <w:hyperlink r:id="rId12">
        <w:r w:rsidRPr="006D6D5B">
          <w:rPr>
            <w:rFonts w:eastAsiaTheme="minorEastAsia"/>
            <w:color w:val="0000FF"/>
            <w:u w:val="single"/>
          </w:rPr>
          <w:t>GPCE contract referendum results</w:t>
        </w:r>
      </w:hyperlink>
      <w:r w:rsidRPr="006D6D5B">
        <w:rPr>
          <w:rFonts w:eastAsiaTheme="minorEastAsia"/>
          <w:color w:val="0000FF"/>
          <w:u w:val="single"/>
        </w:rPr>
        <w:t xml:space="preserve"> </w:t>
      </w:r>
    </w:p>
    <w:p w14:paraId="032298AE" w14:textId="10F2EB5E" w:rsidR="006D6D5B" w:rsidRPr="006D6D5B" w:rsidRDefault="00286198"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hyperlink r:id="rId13">
        <w:r w:rsidR="006D6D5B" w:rsidRPr="006D6D5B">
          <w:rPr>
            <w:rFonts w:eastAsiaTheme="minorEastAsia"/>
            <w:color w:val="0000FF"/>
            <w:u w:val="single"/>
          </w:rPr>
          <w:t>Find out</w:t>
        </w:r>
      </w:hyperlink>
      <w:r w:rsidR="006D6D5B" w:rsidRPr="006D6D5B">
        <w:rPr>
          <w:rFonts w:eastAsiaTheme="minorEastAsia"/>
        </w:rPr>
        <w:t xml:space="preserve"> about the contract changes and read our FAQs to learn what this means for you.</w:t>
      </w:r>
    </w:p>
    <w:p w14:paraId="23F3C13E" w14:textId="1830524D" w:rsidR="006D6D5B" w:rsidRPr="006D6D5B"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themeFill="background1"/>
        <w:rPr>
          <w:rFonts w:eastAsiaTheme="minorEastAsia"/>
          <w:color w:val="0000FF"/>
          <w:u w:val="single"/>
        </w:rPr>
      </w:pPr>
      <w:r w:rsidRPr="006D6D5B">
        <w:rPr>
          <w:rFonts w:eastAsiaTheme="minorEastAsia"/>
        </w:rPr>
        <w:t xml:space="preserve">Link to press release: </w:t>
      </w:r>
      <w:hyperlink r:id="rId14">
        <w:r w:rsidRPr="006D6D5B">
          <w:rPr>
            <w:rFonts w:eastAsiaTheme="minorEastAsia"/>
            <w:color w:val="0000FF"/>
            <w:u w:val="single"/>
          </w:rPr>
          <w:t xml:space="preserve">GPs vote overwhelmingly to reject contract changes in BMA referendum </w:t>
        </w:r>
      </w:hyperlink>
    </w:p>
    <w:p w14:paraId="59491B26" w14:textId="716A4EEB" w:rsidR="006D6D5B" w:rsidRPr="006D74F7" w:rsidRDefault="006D6D5B" w:rsidP="006D6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6D6D5B">
        <w:rPr>
          <w:rFonts w:eastAsiaTheme="minorEastAsia"/>
        </w:rPr>
        <w:t>Dr Katie Bramall-Stainer - GPC England chair</w:t>
      </w:r>
      <w:r>
        <w:rPr>
          <w:rFonts w:eastAsiaTheme="minorEastAsia"/>
        </w:rPr>
        <w:t>.</w:t>
      </w:r>
    </w:p>
    <w:p w14:paraId="59C446D4" w14:textId="77777777" w:rsidR="00A60695" w:rsidRDefault="00A60695" w:rsidP="00587D9E">
      <w:pPr>
        <w:spacing w:after="0"/>
        <w:textAlignment w:val="baseline"/>
        <w:rPr>
          <w:rFonts w:cstheme="minorHAnsi"/>
          <w:sz w:val="24"/>
          <w:szCs w:val="24"/>
        </w:rPr>
      </w:pPr>
    </w:p>
    <w:p w14:paraId="621EC2E1" w14:textId="77777777" w:rsidR="00A60695" w:rsidRDefault="00A60695" w:rsidP="00587D9E">
      <w:pPr>
        <w:spacing w:after="0"/>
        <w:textAlignment w:val="baseline"/>
        <w:rPr>
          <w:rFonts w:cstheme="minorHAnsi"/>
          <w:sz w:val="24"/>
          <w:szCs w:val="24"/>
        </w:rPr>
      </w:pPr>
    </w:p>
    <w:p w14:paraId="38340AAD" w14:textId="4B804DF5" w:rsidR="009814EE" w:rsidRPr="009814EE" w:rsidRDefault="00847A84" w:rsidP="009814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rPr>
      </w:pPr>
      <w:bookmarkStart w:id="3" w:name="NO3"/>
      <w:r>
        <w:rPr>
          <w:rFonts w:eastAsiaTheme="minorEastAsia"/>
          <w:b/>
          <w:bCs/>
        </w:rPr>
        <w:t>3</w:t>
      </w:r>
      <w:r w:rsidR="009814EE" w:rsidRPr="009814EE">
        <w:rPr>
          <w:rFonts w:eastAsiaTheme="minorEastAsia"/>
          <w:b/>
          <w:bCs/>
        </w:rPr>
        <w:t>.BMA guidance on physician associates</w:t>
      </w:r>
    </w:p>
    <w:bookmarkEnd w:id="3"/>
    <w:p w14:paraId="391EB94C" w14:textId="0E580244" w:rsidR="009814EE" w:rsidRPr="009814EE" w:rsidRDefault="009814EE" w:rsidP="009814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9814EE">
        <w:rPr>
          <w:rFonts w:eastAsiaTheme="minorEastAsia"/>
        </w:rPr>
        <w:t xml:space="preserve">The BMA published </w:t>
      </w:r>
      <w:hyperlink r:id="rId15">
        <w:r w:rsidRPr="009814EE">
          <w:rPr>
            <w:rFonts w:eastAsiaTheme="minorEastAsia"/>
            <w:color w:val="0563C1"/>
            <w:u w:val="single"/>
          </w:rPr>
          <w:t>guidance</w:t>
        </w:r>
      </w:hyperlink>
      <w:r w:rsidRPr="009814EE">
        <w:rPr>
          <w:rFonts w:eastAsiaTheme="minorEastAsia"/>
        </w:rPr>
        <w:t xml:space="preserve"> on 7 March 2024 regarding medical associate professionals (MAPs). From a GP perspective, we understand some practices will have substantive employment contracts with associate clinical staff employed both directly by a practice, </w:t>
      </w:r>
      <w:r w:rsidR="00286198" w:rsidRPr="009814EE">
        <w:rPr>
          <w:rFonts w:eastAsiaTheme="minorEastAsia"/>
        </w:rPr>
        <w:t>and</w:t>
      </w:r>
      <w:r w:rsidRPr="009814EE">
        <w:rPr>
          <w:rFonts w:eastAsiaTheme="minorEastAsia"/>
        </w:rPr>
        <w:t xml:space="preserve"> within the ARRS under the PCN DES at a network level.</w:t>
      </w:r>
    </w:p>
    <w:p w14:paraId="16B2055D" w14:textId="166E4A66" w:rsidR="009814EE" w:rsidRPr="009814EE" w:rsidRDefault="009814EE" w:rsidP="009814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9814EE">
        <w:rPr>
          <w:rFonts w:eastAsiaTheme="minorEastAsia"/>
        </w:rPr>
        <w:t>We readily appreciate the shifting sands of opinion, not to mention the NHSE letter of 27 March 2024, and the Government’s planned and imminent regulation of MAP roles by the GMC which itself has aroused strong feelings across the profession. GPCE recognises it may be likely that many roles may have been working in a manner as described in the PCN DES contract, that is they “must” see as a “first point of contact”, “undifferentiated and undiagnosed” patients.  Substantive guidance for employing practices which will complement the wider BMA position is under development. In the interim, it is for GP employers to determine the terms of individual staff members’ abilities to undertake their job competently and safely in meeting the needs of the practice’s registered list. </w:t>
      </w:r>
    </w:p>
    <w:p w14:paraId="632217DD" w14:textId="4985310A" w:rsidR="009814EE" w:rsidRPr="009814EE" w:rsidRDefault="009814EE" w:rsidP="009814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9814EE">
        <w:rPr>
          <w:rFonts w:eastAsiaTheme="minorEastAsia"/>
        </w:rPr>
        <w:t xml:space="preserve">GPC England is in discussion with NHSE and DHSC </w:t>
      </w:r>
      <w:proofErr w:type="gramStart"/>
      <w:r w:rsidRPr="009814EE">
        <w:rPr>
          <w:rFonts w:eastAsiaTheme="minorEastAsia"/>
        </w:rPr>
        <w:t>in light of</w:t>
      </w:r>
      <w:proofErr w:type="gramEnd"/>
      <w:r w:rsidRPr="009814EE">
        <w:rPr>
          <w:rFonts w:eastAsiaTheme="minorEastAsia"/>
        </w:rPr>
        <w:t xml:space="preserve"> the recently published guidance which may present a demanding expectation in terms of both supervisory time and availability. </w:t>
      </w:r>
      <w:proofErr w:type="gramStart"/>
      <w:r w:rsidRPr="009814EE">
        <w:rPr>
          <w:rFonts w:eastAsiaTheme="minorEastAsia"/>
        </w:rPr>
        <w:t>However</w:t>
      </w:r>
      <w:proofErr w:type="gramEnd"/>
      <w:r w:rsidRPr="009814EE">
        <w:rPr>
          <w:rFonts w:eastAsiaTheme="minorEastAsia"/>
        </w:rPr>
        <w:t xml:space="preserve"> we would remind GP employers that PAs are not independent practitioners – they do require supervision and oversight. Their scope of practice means that GP employers retain responsibility and liability for clinical oversight. Hence in reality, the ‘undifferentiated’ element is unlikely to be practically implemented in its fullest sense.</w:t>
      </w:r>
    </w:p>
    <w:p w14:paraId="789895AE" w14:textId="69F91BA6" w:rsidR="009814EE" w:rsidRPr="009814EE" w:rsidRDefault="009814EE" w:rsidP="009814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9814EE">
        <w:rPr>
          <w:rFonts w:eastAsiaTheme="minorEastAsia"/>
        </w:rPr>
        <w:t>Each MAP needs to be assessed on an </w:t>
      </w:r>
      <w:r w:rsidRPr="009814EE">
        <w:rPr>
          <w:rFonts w:eastAsiaTheme="minorEastAsia"/>
          <w:i/>
          <w:iCs/>
        </w:rPr>
        <w:t>individual </w:t>
      </w:r>
      <w:r w:rsidRPr="009814EE">
        <w:rPr>
          <w:rFonts w:eastAsiaTheme="minorEastAsia"/>
        </w:rPr>
        <w:t xml:space="preserve">basis, with GP employers undertaking due diligence in assessing and monitoring the relevant scope of practice and clinical competence of their respective employees.  Furthermore, at present there is no general practice training pathway with supported induction, </w:t>
      </w:r>
      <w:proofErr w:type="gramStart"/>
      <w:r w:rsidRPr="009814EE">
        <w:rPr>
          <w:rFonts w:eastAsiaTheme="minorEastAsia"/>
        </w:rPr>
        <w:t>curriculum</w:t>
      </w:r>
      <w:proofErr w:type="gramEnd"/>
      <w:r w:rsidRPr="009814EE">
        <w:rPr>
          <w:rFonts w:eastAsiaTheme="minorEastAsia"/>
        </w:rPr>
        <w:t xml:space="preserve"> or competency coverage. It might be noted that nascent preceptorships are conspicuous by their absence due in part to a familiar story of a lack of ICB support to practices and PCNs.</w:t>
      </w:r>
    </w:p>
    <w:p w14:paraId="4511424A" w14:textId="2BB5837E" w:rsidR="009814EE" w:rsidRPr="009814EE" w:rsidRDefault="009814EE" w:rsidP="009814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9814EE">
        <w:rPr>
          <w:rFonts w:eastAsiaTheme="minorEastAsia"/>
        </w:rPr>
        <w:t>All staff require induction, and a programme of support. Who decides when staff are ready (or not) to see undifferentiated clinical presentations should be determined on an individual basis after an automatic period of close supervision. In the absence of regulation and quality training assurances, GPs as employers remain ultimately responsibility.  GPC England would always advise GPs ensure they are fulfilling their GMC obligations.</w:t>
      </w:r>
    </w:p>
    <w:p w14:paraId="4228DC43" w14:textId="77777777" w:rsidR="009814EE" w:rsidRPr="00164FCA" w:rsidRDefault="009814EE" w:rsidP="009814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rPr>
      </w:pPr>
      <w:r w:rsidRPr="009814EE">
        <w:rPr>
          <w:rFonts w:eastAsiaTheme="minorEastAsia"/>
        </w:rPr>
        <w:t>In terms of a strategic perspective, we appreciate that medically qualified doctors who are not GPs must stay within their scope of practice, therefore one might perceive an inconsistency in approach to then support non-regulated professionals, (given the imposed contractual guidance from NHSE) in seeing undifferentiated, undiagnosed patients.</w:t>
      </w:r>
    </w:p>
    <w:p w14:paraId="66C806D3" w14:textId="5B787BD9" w:rsidR="00A60695" w:rsidRDefault="00A60695" w:rsidP="00587D9E">
      <w:pPr>
        <w:spacing w:after="0"/>
        <w:textAlignment w:val="baseline"/>
        <w:rPr>
          <w:rFonts w:cstheme="minorHAnsi"/>
          <w:sz w:val="24"/>
          <w:szCs w:val="24"/>
        </w:rPr>
      </w:pPr>
    </w:p>
    <w:p w14:paraId="7226CCAD" w14:textId="77777777" w:rsidR="00A60695" w:rsidRDefault="00A60695" w:rsidP="00587D9E">
      <w:pPr>
        <w:spacing w:after="0"/>
        <w:textAlignment w:val="baseline"/>
        <w:rPr>
          <w:rFonts w:cstheme="minorHAnsi"/>
          <w:sz w:val="24"/>
          <w:szCs w:val="24"/>
        </w:rPr>
      </w:pPr>
    </w:p>
    <w:p w14:paraId="395EBEDE" w14:textId="77777777" w:rsidR="00A60695" w:rsidRDefault="00A60695" w:rsidP="00587D9E">
      <w:pPr>
        <w:spacing w:after="0"/>
        <w:textAlignment w:val="baseline"/>
        <w:rPr>
          <w:rFonts w:cstheme="minorHAnsi"/>
          <w:sz w:val="24"/>
          <w:szCs w:val="24"/>
        </w:rPr>
      </w:pPr>
    </w:p>
    <w:p w14:paraId="0F51AB60" w14:textId="77777777" w:rsidR="00A60695" w:rsidRDefault="00A60695" w:rsidP="00587D9E">
      <w:pPr>
        <w:spacing w:after="0"/>
        <w:textAlignment w:val="baseline"/>
        <w:rPr>
          <w:rFonts w:cstheme="minorHAnsi"/>
          <w:sz w:val="24"/>
          <w:szCs w:val="24"/>
        </w:rPr>
      </w:pPr>
    </w:p>
    <w:p w14:paraId="69DA0EC1" w14:textId="77777777" w:rsidR="00A60695" w:rsidRDefault="00A60695" w:rsidP="00587D9E">
      <w:pPr>
        <w:spacing w:after="0"/>
        <w:textAlignment w:val="baseline"/>
        <w:rPr>
          <w:rFonts w:cstheme="minorHAnsi"/>
          <w:sz w:val="24"/>
          <w:szCs w:val="24"/>
        </w:rPr>
      </w:pPr>
    </w:p>
    <w:p w14:paraId="38632316" w14:textId="77777777" w:rsidR="00A60695" w:rsidRDefault="00A60695" w:rsidP="00587D9E">
      <w:pPr>
        <w:spacing w:after="0"/>
        <w:textAlignment w:val="baseline"/>
        <w:rPr>
          <w:rFonts w:cstheme="minorHAnsi"/>
          <w:sz w:val="24"/>
          <w:szCs w:val="24"/>
        </w:rPr>
      </w:pPr>
    </w:p>
    <w:p w14:paraId="1431AC7B" w14:textId="77777777" w:rsidR="00286198" w:rsidRDefault="00286198" w:rsidP="00587D9E">
      <w:pPr>
        <w:spacing w:after="0"/>
        <w:textAlignment w:val="baseline"/>
        <w:rPr>
          <w:rFonts w:cstheme="minorHAnsi"/>
          <w:sz w:val="24"/>
          <w:szCs w:val="24"/>
        </w:rPr>
      </w:pPr>
    </w:p>
    <w:p w14:paraId="04285DB2" w14:textId="77777777" w:rsidR="00847A84" w:rsidRPr="00EF6594" w:rsidRDefault="00847A84" w:rsidP="00847A8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4" w:name="NO4"/>
      <w:r>
        <w:rPr>
          <w:rStyle w:val="Strong"/>
          <w:color w:val="030303"/>
          <w:position w:val="17"/>
        </w:rPr>
        <w:t>4</w:t>
      </w:r>
      <w:r w:rsidRPr="00EF6594">
        <w:rPr>
          <w:rStyle w:val="Strong"/>
          <w:color w:val="030303"/>
          <w:position w:val="17"/>
        </w:rPr>
        <w:t xml:space="preserve">.Delivery Plan for Recovering Access to Primary Care: Giving patients online access to new GP health record entries </w:t>
      </w:r>
    </w:p>
    <w:bookmarkEnd w:id="4"/>
    <w:p w14:paraId="1B9F265F" w14:textId="77777777" w:rsidR="00847A84" w:rsidRPr="00EF6594" w:rsidRDefault="00847A84" w:rsidP="00847A8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EF6594">
        <w:rPr>
          <w:color w:val="030303"/>
          <w:position w:val="17"/>
        </w:rPr>
        <w:t>The digital transformation programme to implement online prospective record access completed last week, with support now being taken forward by local commissioners.</w:t>
      </w:r>
      <w:r w:rsidRPr="00EF6594">
        <w:rPr>
          <w:color w:val="030303"/>
          <w:position w:val="17"/>
        </w:rPr>
        <w:br/>
        <w:t xml:space="preserve">As part of the programme’s completion, </w:t>
      </w:r>
      <w:proofErr w:type="spellStart"/>
      <w:r w:rsidRPr="00EF6594">
        <w:rPr>
          <w:color w:val="030303"/>
          <w:position w:val="17"/>
        </w:rPr>
        <w:t>FutureNHS</w:t>
      </w:r>
      <w:proofErr w:type="spellEnd"/>
      <w:r w:rsidRPr="00EF6594">
        <w:rPr>
          <w:color w:val="030303"/>
          <w:position w:val="17"/>
        </w:rPr>
        <w:t xml:space="preserve"> resources have been migrated from the </w:t>
      </w:r>
      <w:hyperlink r:id="rId16" w:history="1">
        <w:r w:rsidRPr="00EF6594">
          <w:rPr>
            <w:rStyle w:val="Hyperlink"/>
            <w:color w:val="005EB8"/>
            <w:position w:val="17"/>
          </w:rPr>
          <w:t>Implementation Team workspace</w:t>
        </w:r>
      </w:hyperlink>
      <w:r w:rsidRPr="00EF6594">
        <w:rPr>
          <w:color w:val="030303"/>
          <w:position w:val="17"/>
        </w:rPr>
        <w:t xml:space="preserve"> to a permanent location within the </w:t>
      </w:r>
      <w:hyperlink r:id="rId17" w:history="1">
        <w:r w:rsidRPr="00EF6594">
          <w:rPr>
            <w:rStyle w:val="Hyperlink"/>
            <w:color w:val="005EB8"/>
            <w:position w:val="17"/>
          </w:rPr>
          <w:t>PCNs and Practices Support Hub</w:t>
        </w:r>
      </w:hyperlink>
      <w:r w:rsidRPr="00EF6594">
        <w:rPr>
          <w:color w:val="030303"/>
          <w:position w:val="17"/>
        </w:rPr>
        <w:t xml:space="preserve">, with safeguarding guidance added to the </w:t>
      </w:r>
      <w:hyperlink r:id="rId18" w:history="1">
        <w:r w:rsidRPr="00EF6594">
          <w:rPr>
            <w:rStyle w:val="Hyperlink"/>
            <w:color w:val="005EB8"/>
            <w:position w:val="17"/>
          </w:rPr>
          <w:t>NHS Safeguarding workspace</w:t>
        </w:r>
      </w:hyperlink>
      <w:r w:rsidRPr="00EF6594">
        <w:rPr>
          <w:color w:val="030303"/>
          <w:position w:val="17"/>
        </w:rPr>
        <w:t xml:space="preserve">. Information remains available at </w:t>
      </w:r>
      <w:hyperlink r:id="rId19" w:history="1">
        <w:r w:rsidRPr="00EF6594">
          <w:rPr>
            <w:rStyle w:val="Hyperlink"/>
            <w:color w:val="005EB8"/>
            <w:position w:val="17"/>
          </w:rPr>
          <w:t>Online access to GP health records - NHS England Digital</w:t>
        </w:r>
      </w:hyperlink>
      <w:r w:rsidRPr="00EF6594">
        <w:rPr>
          <w:color w:val="030303"/>
          <w:position w:val="17"/>
        </w:rPr>
        <w:t>.</w:t>
      </w:r>
    </w:p>
    <w:p w14:paraId="438FC089" w14:textId="77777777" w:rsidR="00847A84" w:rsidRPr="00EF6594" w:rsidRDefault="00847A84" w:rsidP="00847A8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EF6594">
        <w:rPr>
          <w:color w:val="030303"/>
          <w:position w:val="17"/>
        </w:rPr>
        <w:t>The programme team would like to acknowledge the hard work of practice teams that have enabled access for their patients and those who have supported its rollout to more than 24 million people.</w:t>
      </w:r>
    </w:p>
    <w:p w14:paraId="0ECBD98A" w14:textId="77777777" w:rsidR="00A60695" w:rsidRDefault="00A60695" w:rsidP="00587D9E">
      <w:pPr>
        <w:spacing w:after="0"/>
        <w:textAlignment w:val="baseline"/>
        <w:rPr>
          <w:rFonts w:cstheme="minorHAnsi"/>
          <w:sz w:val="24"/>
          <w:szCs w:val="24"/>
        </w:rPr>
      </w:pPr>
    </w:p>
    <w:p w14:paraId="70907D76" w14:textId="77777777" w:rsidR="00A60695" w:rsidRDefault="00A60695" w:rsidP="00587D9E">
      <w:pPr>
        <w:spacing w:after="0"/>
        <w:textAlignment w:val="baseline"/>
        <w:rPr>
          <w:rFonts w:cstheme="minorHAnsi"/>
          <w:sz w:val="24"/>
          <w:szCs w:val="24"/>
        </w:rPr>
      </w:pPr>
    </w:p>
    <w:p w14:paraId="4FEAEA53" w14:textId="77777777" w:rsidR="00A60695" w:rsidRPr="00587D9E" w:rsidRDefault="00A60695"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68787E">
      <w:headerReference w:type="default" r:id="rId24"/>
      <w:footerReference w:type="default" r:id="rId2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BE56F" w14:textId="77777777" w:rsidR="0068787E" w:rsidRDefault="0068787E" w:rsidP="001B4E81">
      <w:pPr>
        <w:spacing w:after="0" w:line="240" w:lineRule="auto"/>
      </w:pPr>
      <w:r>
        <w:separator/>
      </w:r>
    </w:p>
  </w:endnote>
  <w:endnote w:type="continuationSeparator" w:id="0">
    <w:p w14:paraId="67D7AA7A" w14:textId="77777777" w:rsidR="0068787E" w:rsidRDefault="0068787E" w:rsidP="001B4E81">
      <w:pPr>
        <w:spacing w:after="0" w:line="240" w:lineRule="auto"/>
      </w:pPr>
      <w:r>
        <w:continuationSeparator/>
      </w:r>
    </w:p>
  </w:endnote>
  <w:endnote w:type="continuationNotice" w:id="1">
    <w:p w14:paraId="2DC5CDBA" w14:textId="77777777" w:rsidR="0068787E" w:rsidRDefault="00687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3B312" w14:textId="77777777" w:rsidR="0068787E" w:rsidRDefault="0068787E" w:rsidP="001B4E81">
      <w:pPr>
        <w:spacing w:after="0" w:line="240" w:lineRule="auto"/>
      </w:pPr>
      <w:r>
        <w:separator/>
      </w:r>
    </w:p>
  </w:footnote>
  <w:footnote w:type="continuationSeparator" w:id="0">
    <w:p w14:paraId="6A3ED16D" w14:textId="77777777" w:rsidR="0068787E" w:rsidRDefault="0068787E" w:rsidP="001B4E81">
      <w:pPr>
        <w:spacing w:after="0" w:line="240" w:lineRule="auto"/>
      </w:pPr>
      <w:r>
        <w:continuationSeparator/>
      </w:r>
    </w:p>
  </w:footnote>
  <w:footnote w:type="continuationNotice" w:id="1">
    <w:p w14:paraId="09640BE8" w14:textId="77777777" w:rsidR="0068787E" w:rsidRDefault="00687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2172EA2"/>
    <w:multiLevelType w:val="hybridMultilevel"/>
    <w:tmpl w:val="7B40D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25"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25"/>
  </w:num>
  <w:num w:numId="2" w16cid:durableId="1787625626">
    <w:abstractNumId w:val="17"/>
  </w:num>
  <w:num w:numId="3" w16cid:durableId="1540629576">
    <w:abstractNumId w:val="13"/>
  </w:num>
  <w:num w:numId="4" w16cid:durableId="391077826">
    <w:abstractNumId w:val="15"/>
  </w:num>
  <w:num w:numId="5" w16cid:durableId="1341853404">
    <w:abstractNumId w:val="26"/>
  </w:num>
  <w:num w:numId="6" w16cid:durableId="767585139">
    <w:abstractNumId w:val="24"/>
  </w:num>
  <w:num w:numId="7" w16cid:durableId="2041667077">
    <w:abstractNumId w:val="2"/>
  </w:num>
  <w:num w:numId="8" w16cid:durableId="1515000037">
    <w:abstractNumId w:val="5"/>
  </w:num>
  <w:num w:numId="9" w16cid:durableId="872035998">
    <w:abstractNumId w:val="23"/>
  </w:num>
  <w:num w:numId="10" w16cid:durableId="1416436257">
    <w:abstractNumId w:val="2"/>
  </w:num>
  <w:num w:numId="11" w16cid:durableId="808744928">
    <w:abstractNumId w:val="7"/>
  </w:num>
  <w:num w:numId="12" w16cid:durableId="1915429240">
    <w:abstractNumId w:val="8"/>
  </w:num>
  <w:num w:numId="13" w16cid:durableId="1064135678">
    <w:abstractNumId w:val="30"/>
  </w:num>
  <w:num w:numId="14" w16cid:durableId="1438673690">
    <w:abstractNumId w:val="19"/>
  </w:num>
  <w:num w:numId="15" w16cid:durableId="13108668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6"/>
  </w:num>
  <w:num w:numId="18" w16cid:durableId="217059276">
    <w:abstractNumId w:val="10"/>
  </w:num>
  <w:num w:numId="19" w16cid:durableId="61373668">
    <w:abstractNumId w:val="9"/>
  </w:num>
  <w:num w:numId="20" w16cid:durableId="1882671202">
    <w:abstractNumId w:val="14"/>
  </w:num>
  <w:num w:numId="21" w16cid:durableId="1817532173">
    <w:abstractNumId w:val="11"/>
  </w:num>
  <w:num w:numId="22" w16cid:durableId="137655963">
    <w:abstractNumId w:val="29"/>
  </w:num>
  <w:num w:numId="23" w16cid:durableId="1401640374">
    <w:abstractNumId w:val="18"/>
  </w:num>
  <w:num w:numId="24" w16cid:durableId="1580678170">
    <w:abstractNumId w:val="28"/>
  </w:num>
  <w:num w:numId="25" w16cid:durableId="1695958751">
    <w:abstractNumId w:val="4"/>
  </w:num>
  <w:num w:numId="26" w16cid:durableId="466246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
  </w:num>
  <w:num w:numId="28" w16cid:durableId="1404527918">
    <w:abstractNumId w:val="6"/>
  </w:num>
  <w:num w:numId="29" w16cid:durableId="1478451548">
    <w:abstractNumId w:val="21"/>
  </w:num>
  <w:num w:numId="30" w16cid:durableId="1055156669">
    <w:abstractNumId w:val="22"/>
  </w:num>
  <w:num w:numId="31" w16cid:durableId="1425298004">
    <w:abstractNumId w:val="12"/>
  </w:num>
  <w:num w:numId="32" w16cid:durableId="180796854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B69"/>
    <w:rsid w:val="000048D1"/>
    <w:rsid w:val="0000555A"/>
    <w:rsid w:val="00005835"/>
    <w:rsid w:val="00007360"/>
    <w:rsid w:val="000076D4"/>
    <w:rsid w:val="00010C70"/>
    <w:rsid w:val="00012727"/>
    <w:rsid w:val="00013860"/>
    <w:rsid w:val="0001405D"/>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4045"/>
    <w:rsid w:val="00034B8D"/>
    <w:rsid w:val="000351DD"/>
    <w:rsid w:val="00036883"/>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0880"/>
    <w:rsid w:val="00081413"/>
    <w:rsid w:val="00081652"/>
    <w:rsid w:val="00081BFA"/>
    <w:rsid w:val="00082950"/>
    <w:rsid w:val="00082F9E"/>
    <w:rsid w:val="00085477"/>
    <w:rsid w:val="0009084C"/>
    <w:rsid w:val="00091E0F"/>
    <w:rsid w:val="00093F94"/>
    <w:rsid w:val="0009540A"/>
    <w:rsid w:val="00095426"/>
    <w:rsid w:val="00096550"/>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282E"/>
    <w:rsid w:val="000C2FD6"/>
    <w:rsid w:val="000C3979"/>
    <w:rsid w:val="000C4CD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616"/>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3AE7"/>
    <w:rsid w:val="002448D3"/>
    <w:rsid w:val="00244E6F"/>
    <w:rsid w:val="0024557E"/>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FD7"/>
    <w:rsid w:val="0026289D"/>
    <w:rsid w:val="00264197"/>
    <w:rsid w:val="002662BB"/>
    <w:rsid w:val="002667F4"/>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86198"/>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2B7F"/>
    <w:rsid w:val="004C57E7"/>
    <w:rsid w:val="004C5802"/>
    <w:rsid w:val="004C676B"/>
    <w:rsid w:val="004C6C4D"/>
    <w:rsid w:val="004C7A99"/>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6A8C"/>
    <w:rsid w:val="0061786B"/>
    <w:rsid w:val="0061786F"/>
    <w:rsid w:val="00617AAD"/>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8787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76"/>
    <w:rsid w:val="007045DA"/>
    <w:rsid w:val="007049EA"/>
    <w:rsid w:val="007076DE"/>
    <w:rsid w:val="00707D70"/>
    <w:rsid w:val="00710F4B"/>
    <w:rsid w:val="00716D4C"/>
    <w:rsid w:val="00716F47"/>
    <w:rsid w:val="007176F8"/>
    <w:rsid w:val="0072105C"/>
    <w:rsid w:val="00721466"/>
    <w:rsid w:val="007241A2"/>
    <w:rsid w:val="00724832"/>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B73"/>
    <w:rsid w:val="008255A8"/>
    <w:rsid w:val="00826BB3"/>
    <w:rsid w:val="00830768"/>
    <w:rsid w:val="00830E84"/>
    <w:rsid w:val="00832814"/>
    <w:rsid w:val="0083487B"/>
    <w:rsid w:val="00834E45"/>
    <w:rsid w:val="0083523A"/>
    <w:rsid w:val="00836757"/>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6185C"/>
    <w:rsid w:val="00861B5E"/>
    <w:rsid w:val="00862B67"/>
    <w:rsid w:val="00863461"/>
    <w:rsid w:val="00863E94"/>
    <w:rsid w:val="00864E7C"/>
    <w:rsid w:val="00864EE9"/>
    <w:rsid w:val="0086562F"/>
    <w:rsid w:val="0086642B"/>
    <w:rsid w:val="00867E3E"/>
    <w:rsid w:val="00867F99"/>
    <w:rsid w:val="00872D39"/>
    <w:rsid w:val="00873E6D"/>
    <w:rsid w:val="00874FBF"/>
    <w:rsid w:val="008753E8"/>
    <w:rsid w:val="00875A27"/>
    <w:rsid w:val="0087745C"/>
    <w:rsid w:val="00880DCC"/>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3760"/>
    <w:rsid w:val="009B40C9"/>
    <w:rsid w:val="009B50EA"/>
    <w:rsid w:val="009B57E2"/>
    <w:rsid w:val="009B6209"/>
    <w:rsid w:val="009B7F26"/>
    <w:rsid w:val="009C0525"/>
    <w:rsid w:val="009C15CB"/>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7179"/>
    <w:rsid w:val="00A01E19"/>
    <w:rsid w:val="00A02B18"/>
    <w:rsid w:val="00A05554"/>
    <w:rsid w:val="00A05EC8"/>
    <w:rsid w:val="00A0616A"/>
    <w:rsid w:val="00A10AB8"/>
    <w:rsid w:val="00A10CAF"/>
    <w:rsid w:val="00A115D5"/>
    <w:rsid w:val="00A11EE5"/>
    <w:rsid w:val="00A1323C"/>
    <w:rsid w:val="00A135E2"/>
    <w:rsid w:val="00A158C3"/>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C57"/>
    <w:rsid w:val="00B40361"/>
    <w:rsid w:val="00B410D3"/>
    <w:rsid w:val="00B414DB"/>
    <w:rsid w:val="00B420F3"/>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E1F53"/>
    <w:rsid w:val="00BE3313"/>
    <w:rsid w:val="00BE59FB"/>
    <w:rsid w:val="00BE6923"/>
    <w:rsid w:val="00BF0A60"/>
    <w:rsid w:val="00BF2884"/>
    <w:rsid w:val="00BF2F77"/>
    <w:rsid w:val="00BF39DA"/>
    <w:rsid w:val="00BF3B7A"/>
    <w:rsid w:val="00BF48CE"/>
    <w:rsid w:val="00BF52F0"/>
    <w:rsid w:val="00BF587C"/>
    <w:rsid w:val="00BF6AB5"/>
    <w:rsid w:val="00BF7B3F"/>
    <w:rsid w:val="00C01174"/>
    <w:rsid w:val="00C02994"/>
    <w:rsid w:val="00C042B5"/>
    <w:rsid w:val="00C0611F"/>
    <w:rsid w:val="00C0648A"/>
    <w:rsid w:val="00C06681"/>
    <w:rsid w:val="00C071CD"/>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03DB"/>
    <w:rsid w:val="00CC1715"/>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3451"/>
    <w:rsid w:val="00DB41D5"/>
    <w:rsid w:val="00DB4DAD"/>
    <w:rsid w:val="00DB521F"/>
    <w:rsid w:val="00DB66A1"/>
    <w:rsid w:val="00DB6B76"/>
    <w:rsid w:val="00DB7843"/>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12DCE"/>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24BF"/>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49DD"/>
    <w:rsid w:val="00F679AA"/>
    <w:rsid w:val="00F67C4B"/>
    <w:rsid w:val="00F72B08"/>
    <w:rsid w:val="00F73D57"/>
    <w:rsid w:val="00F74072"/>
    <w:rsid w:val="00F74376"/>
    <w:rsid w:val="00F74B8D"/>
    <w:rsid w:val="00F75635"/>
    <w:rsid w:val="00F80D62"/>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361F"/>
    <w:rsid w:val="00FE40BE"/>
    <w:rsid w:val="00FE495F"/>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pay-and-contracts/contracts/gp-contract/gp-investment-in-england" TargetMode="External"/><Relationship Id="rId18" Type="http://schemas.openxmlformats.org/officeDocument/2006/relationships/hyperlink" Target="https://primarycarebulletin.cmail20.com/t/d-l-eyhyuuk-tluhhdhyld-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gp-practices" TargetMode="External"/><Relationship Id="rId7" Type="http://schemas.openxmlformats.org/officeDocument/2006/relationships/settings" Target="settings.xml"/><Relationship Id="rId12" Type="http://schemas.openxmlformats.org/officeDocument/2006/relationships/hyperlink" Target="https://www.youtube.com/watch?v=-KtCgQv4I4w" TargetMode="External"/><Relationship Id="rId17" Type="http://schemas.openxmlformats.org/officeDocument/2006/relationships/hyperlink" Target="https://primarycarebulletin.cmail20.com/t/d-l-eyhyuuk-tluhhdhyld-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imarycarebulletin.cmail20.com/t/d-l-eyhyuuk-tluhhdhyld-t/"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eyhyuuk-tluhhdhyl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ma.org.uk/news-and-opinion/bma-sets-out-responsibilities-of-maps" TargetMode="External"/><Relationship Id="rId23"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https://primarycarebulletin.cmail20.com/t/d-l-eyhyuuk-tluhhdhyld-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bma-media-centre/gps-vote-overwhelmingly-to-reject-contract-changes-in-bma-referendum"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6</cp:revision>
  <dcterms:created xsi:type="dcterms:W3CDTF">2024-04-10T09:59:00Z</dcterms:created>
  <dcterms:modified xsi:type="dcterms:W3CDTF">2024-04-11T09:26:00Z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