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7A81878A"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F1E9FA7">
                <wp:simplePos x="0" y="0"/>
                <wp:positionH relativeFrom="margin">
                  <wp:align>left</wp:align>
                </wp:positionH>
                <wp:positionV relativeFrom="paragraph">
                  <wp:posOffset>69215</wp:posOffset>
                </wp:positionV>
                <wp:extent cx="5463540" cy="8077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1EE2E591"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C865B0">
                              <w:rPr>
                                <w:b/>
                                <w:bCs/>
                                <w:i/>
                                <w:iCs/>
                                <w:color w:val="4472C4" w:themeColor="accent1"/>
                                <w:sz w:val="44"/>
                                <w:szCs w:val="44"/>
                              </w:rPr>
                              <w:t>2</w:t>
                            </w:r>
                            <w:r w:rsidR="00CB6DAD">
                              <w:rPr>
                                <w:b/>
                                <w:bCs/>
                                <w:i/>
                                <w:iCs/>
                                <w:color w:val="4472C4" w:themeColor="accent1"/>
                                <w:sz w:val="44"/>
                                <w:szCs w:val="44"/>
                              </w:rPr>
                              <w:t>1</w:t>
                            </w:r>
                            <w:r w:rsidR="00CB6DAD" w:rsidRPr="00CB6DAD">
                              <w:rPr>
                                <w:b/>
                                <w:bCs/>
                                <w:i/>
                                <w:iCs/>
                                <w:color w:val="4472C4" w:themeColor="accent1"/>
                                <w:sz w:val="44"/>
                                <w:szCs w:val="44"/>
                                <w:vertAlign w:val="superscript"/>
                              </w:rPr>
                              <w:t>st</w:t>
                            </w:r>
                            <w:r w:rsidR="00C865B0">
                              <w:rPr>
                                <w:b/>
                                <w:bCs/>
                                <w:i/>
                                <w:iCs/>
                                <w:color w:val="4472C4" w:themeColor="accent1"/>
                                <w:sz w:val="44"/>
                                <w:szCs w:val="44"/>
                              </w:rPr>
                              <w:t xml:space="preserve"> </w:t>
                            </w:r>
                            <w:r w:rsidR="00B3064E">
                              <w:rPr>
                                <w:b/>
                                <w:bCs/>
                                <w:i/>
                                <w:iCs/>
                                <w:color w:val="4472C4" w:themeColor="accent1"/>
                                <w:sz w:val="44"/>
                                <w:szCs w:val="44"/>
                              </w:rPr>
                              <w:t>of May</w:t>
                            </w:r>
                            <w:r w:rsidR="001661D5">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3.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" filled="f" stroked="f">
                <v:textbox>
                  <w:txbxContent>
                    <w:p w14:paraId="456C3362" w14:textId="1EE2E591"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C865B0">
                        <w:rPr>
                          <w:b/>
                          <w:bCs/>
                          <w:i/>
                          <w:iCs/>
                          <w:color w:val="4472C4" w:themeColor="accent1"/>
                          <w:sz w:val="44"/>
                          <w:szCs w:val="44"/>
                        </w:rPr>
                        <w:t>2</w:t>
                      </w:r>
                      <w:r w:rsidR="00CB6DAD">
                        <w:rPr>
                          <w:b/>
                          <w:bCs/>
                          <w:i/>
                          <w:iCs/>
                          <w:color w:val="4472C4" w:themeColor="accent1"/>
                          <w:sz w:val="44"/>
                          <w:szCs w:val="44"/>
                        </w:rPr>
                        <w:t>1</w:t>
                      </w:r>
                      <w:r w:rsidR="00CB6DAD" w:rsidRPr="00CB6DAD">
                        <w:rPr>
                          <w:b/>
                          <w:bCs/>
                          <w:i/>
                          <w:iCs/>
                          <w:color w:val="4472C4" w:themeColor="accent1"/>
                          <w:sz w:val="44"/>
                          <w:szCs w:val="44"/>
                          <w:vertAlign w:val="superscript"/>
                        </w:rPr>
                        <w:t>st</w:t>
                      </w:r>
                      <w:r w:rsidR="00C865B0">
                        <w:rPr>
                          <w:b/>
                          <w:bCs/>
                          <w:i/>
                          <w:iCs/>
                          <w:color w:val="4472C4" w:themeColor="accent1"/>
                          <w:sz w:val="44"/>
                          <w:szCs w:val="44"/>
                        </w:rPr>
                        <w:t xml:space="preserve"> </w:t>
                      </w:r>
                      <w:r w:rsidR="00B3064E">
                        <w:rPr>
                          <w:b/>
                          <w:bCs/>
                          <w:i/>
                          <w:iCs/>
                          <w:color w:val="4472C4" w:themeColor="accent1"/>
                          <w:sz w:val="44"/>
                          <w:szCs w:val="44"/>
                        </w:rPr>
                        <w:t>of May</w:t>
                      </w:r>
                      <w:r w:rsidR="001661D5">
                        <w:rPr>
                          <w:b/>
                          <w:bCs/>
                          <w:i/>
                          <w:iCs/>
                          <w:color w:val="4472C4" w:themeColor="accent1"/>
                          <w:sz w:val="44"/>
                          <w:szCs w:val="44"/>
                        </w:rPr>
                        <w:t xml:space="preserve"> 2024</w:t>
                      </w:r>
                    </w:p>
                  </w:txbxContent>
                </v:textbox>
                <w10:wrap type="topAndBottom" anchorx="margin"/>
              </v:shape>
            </w:pict>
          </mc:Fallback>
        </mc:AlternateContent>
      </w:r>
    </w:p>
    <w:p w14:paraId="0CA7970F" w14:textId="77777777" w:rsidR="000B5C60" w:rsidRPr="00E0076B" w:rsidRDefault="000B5C60" w:rsidP="00587D9E">
      <w:pPr>
        <w:spacing w:after="0"/>
        <w:textAlignment w:val="baseline"/>
        <w:rPr>
          <w:rFonts w:cstheme="minorHAnsi"/>
        </w:rPr>
      </w:pPr>
    </w:p>
    <w:p w14:paraId="26A24775" w14:textId="77777777" w:rsidR="007677EF" w:rsidRPr="00581781" w:rsidRDefault="007677EF" w:rsidP="00587D9E">
      <w:pPr>
        <w:spacing w:after="0"/>
        <w:textAlignment w:val="baseline"/>
        <w:rPr>
          <w:rFonts w:cstheme="minorHAnsi"/>
          <w:b/>
          <w:bCs/>
          <w:color w:val="2F5496" w:themeColor="accent1" w:themeShade="BF"/>
          <w:sz w:val="24"/>
          <w:szCs w:val="24"/>
        </w:rPr>
      </w:pPr>
    </w:p>
    <w:p w14:paraId="44E45732" w14:textId="157414AF" w:rsidR="008C71CC" w:rsidRPr="00581781" w:rsidRDefault="00581781" w:rsidP="001D2C25">
      <w:pPr>
        <w:pStyle w:val="ListParagraph"/>
        <w:numPr>
          <w:ilvl w:val="0"/>
          <w:numId w:val="38"/>
        </w:numPr>
        <w:spacing w:after="0"/>
        <w:textAlignment w:val="baseline"/>
        <w:rPr>
          <w:rStyle w:val="Hyperlink"/>
          <w:rFonts w:cstheme="minorHAnsi"/>
          <w:b/>
          <w:bCs/>
          <w:color w:val="2F5496" w:themeColor="accent1" w:themeShade="BF"/>
          <w:sz w:val="24"/>
          <w:szCs w:val="24"/>
        </w:rPr>
      </w:pPr>
      <w:r w:rsidRPr="00581781">
        <w:rPr>
          <w:rFonts w:cstheme="minorHAnsi"/>
          <w:b/>
          <w:bCs/>
          <w:color w:val="2F5496" w:themeColor="accent1" w:themeShade="BF"/>
          <w:sz w:val="24"/>
          <w:szCs w:val="24"/>
        </w:rPr>
        <w:fldChar w:fldCharType="begin"/>
      </w:r>
      <w:r w:rsidRPr="00581781">
        <w:rPr>
          <w:rFonts w:cstheme="minorHAnsi"/>
          <w:b/>
          <w:bCs/>
          <w:color w:val="2F5496" w:themeColor="accent1" w:themeShade="BF"/>
          <w:sz w:val="24"/>
          <w:szCs w:val="24"/>
        </w:rPr>
        <w:instrText>HYPERLINK  \l "NO1"</w:instrText>
      </w:r>
      <w:r w:rsidRPr="00581781">
        <w:rPr>
          <w:rFonts w:cstheme="minorHAnsi"/>
          <w:b/>
          <w:bCs/>
          <w:color w:val="2F5496" w:themeColor="accent1" w:themeShade="BF"/>
          <w:sz w:val="24"/>
          <w:szCs w:val="24"/>
        </w:rPr>
      </w:r>
      <w:r w:rsidRPr="00581781">
        <w:rPr>
          <w:rFonts w:cstheme="minorHAnsi"/>
          <w:b/>
          <w:bCs/>
          <w:color w:val="2F5496" w:themeColor="accent1" w:themeShade="BF"/>
          <w:sz w:val="24"/>
          <w:szCs w:val="24"/>
        </w:rPr>
        <w:fldChar w:fldCharType="separate"/>
      </w:r>
      <w:r w:rsidR="001D2C25" w:rsidRPr="00581781">
        <w:rPr>
          <w:rStyle w:val="Hyperlink"/>
          <w:rFonts w:cstheme="minorHAnsi"/>
          <w:b/>
          <w:bCs/>
          <w:color w:val="2F5496" w:themeColor="accent1" w:themeShade="BF"/>
          <w:sz w:val="24"/>
          <w:szCs w:val="24"/>
        </w:rPr>
        <w:t xml:space="preserve">Countdown to </w:t>
      </w:r>
      <w:proofErr w:type="spellStart"/>
      <w:r w:rsidR="001D2C25" w:rsidRPr="00581781">
        <w:rPr>
          <w:rStyle w:val="Hyperlink"/>
          <w:rFonts w:cstheme="minorHAnsi"/>
          <w:b/>
          <w:bCs/>
          <w:color w:val="2F5496" w:themeColor="accent1" w:themeShade="BF"/>
          <w:sz w:val="24"/>
          <w:szCs w:val="24"/>
        </w:rPr>
        <w:t>SCRa</w:t>
      </w:r>
      <w:proofErr w:type="spellEnd"/>
      <w:r w:rsidR="001D2C25" w:rsidRPr="00581781">
        <w:rPr>
          <w:rStyle w:val="Hyperlink"/>
          <w:rFonts w:cstheme="minorHAnsi"/>
          <w:b/>
          <w:bCs/>
          <w:color w:val="2F5496" w:themeColor="accent1" w:themeShade="BF"/>
          <w:sz w:val="24"/>
          <w:szCs w:val="24"/>
        </w:rPr>
        <w:t xml:space="preserve"> switch off – Monday 3 June</w:t>
      </w:r>
    </w:p>
    <w:p w14:paraId="3930C79E" w14:textId="3350FC8D" w:rsidR="001D2C25" w:rsidRPr="00581781" w:rsidRDefault="00581781" w:rsidP="001D2C25">
      <w:pPr>
        <w:pStyle w:val="ListParagraph"/>
        <w:numPr>
          <w:ilvl w:val="0"/>
          <w:numId w:val="38"/>
        </w:numPr>
        <w:spacing w:after="0"/>
        <w:textAlignment w:val="baseline"/>
        <w:rPr>
          <w:rFonts w:cstheme="minorHAnsi"/>
          <w:b/>
          <w:bCs/>
          <w:color w:val="2F5496" w:themeColor="accent1" w:themeShade="BF"/>
          <w:sz w:val="24"/>
          <w:szCs w:val="24"/>
        </w:rPr>
      </w:pPr>
      <w:r w:rsidRPr="00581781">
        <w:rPr>
          <w:rFonts w:cstheme="minorHAnsi"/>
          <w:b/>
          <w:bCs/>
          <w:color w:val="2F5496" w:themeColor="accent1" w:themeShade="BF"/>
          <w:sz w:val="24"/>
          <w:szCs w:val="24"/>
        </w:rPr>
        <w:fldChar w:fldCharType="end"/>
      </w:r>
      <w:hyperlink w:anchor="NO2" w:history="1">
        <w:r w:rsidR="004629F6" w:rsidRPr="00581781">
          <w:rPr>
            <w:rStyle w:val="Hyperlink"/>
            <w:rFonts w:cstheme="minorHAnsi"/>
            <w:b/>
            <w:bCs/>
            <w:color w:val="2F5496" w:themeColor="accent1" w:themeShade="BF"/>
            <w:sz w:val="24"/>
            <w:szCs w:val="24"/>
          </w:rPr>
          <w:t>Supporting practices with digitals tools</w:t>
        </w:r>
      </w:hyperlink>
    </w:p>
    <w:p w14:paraId="348E4257" w14:textId="1AACB9BB" w:rsidR="004629F6" w:rsidRPr="00581781" w:rsidRDefault="00581781" w:rsidP="001D2C25">
      <w:pPr>
        <w:pStyle w:val="ListParagraph"/>
        <w:numPr>
          <w:ilvl w:val="0"/>
          <w:numId w:val="38"/>
        </w:numPr>
        <w:spacing w:after="0"/>
        <w:textAlignment w:val="baseline"/>
        <w:rPr>
          <w:rFonts w:cstheme="minorHAnsi"/>
          <w:b/>
          <w:bCs/>
          <w:color w:val="2F5496" w:themeColor="accent1" w:themeShade="BF"/>
          <w:sz w:val="24"/>
          <w:szCs w:val="24"/>
        </w:rPr>
      </w:pPr>
      <w:hyperlink w:anchor="NO3" w:history="1">
        <w:proofErr w:type="spellStart"/>
        <w:r w:rsidR="004629F6" w:rsidRPr="00581781">
          <w:rPr>
            <w:rStyle w:val="Hyperlink"/>
            <w:rFonts w:cstheme="minorHAnsi"/>
            <w:b/>
            <w:bCs/>
            <w:color w:val="2F5496" w:themeColor="accent1" w:themeShade="BF"/>
            <w:sz w:val="24"/>
            <w:szCs w:val="24"/>
          </w:rPr>
          <w:t>SystmOne</w:t>
        </w:r>
        <w:proofErr w:type="spellEnd"/>
        <w:r w:rsidR="004629F6" w:rsidRPr="00581781">
          <w:rPr>
            <w:rStyle w:val="Hyperlink"/>
            <w:rFonts w:cstheme="minorHAnsi"/>
            <w:b/>
            <w:bCs/>
            <w:color w:val="2F5496" w:themeColor="accent1" w:themeShade="BF"/>
            <w:sz w:val="24"/>
            <w:szCs w:val="24"/>
          </w:rPr>
          <w:t xml:space="preserve"> Appt mapping error affecting IIF A</w:t>
        </w:r>
        <w:r w:rsidR="00E42CA0" w:rsidRPr="00581781">
          <w:rPr>
            <w:rStyle w:val="Hyperlink"/>
            <w:rFonts w:cstheme="minorHAnsi"/>
            <w:b/>
            <w:bCs/>
            <w:color w:val="2F5496" w:themeColor="accent1" w:themeShade="BF"/>
            <w:sz w:val="24"/>
            <w:szCs w:val="24"/>
          </w:rPr>
          <w:t>CCO8 indicator</w:t>
        </w:r>
      </w:hyperlink>
      <w:r w:rsidR="00E42CA0" w:rsidRPr="00581781">
        <w:rPr>
          <w:rFonts w:cstheme="minorHAnsi"/>
          <w:b/>
          <w:bCs/>
          <w:color w:val="2F5496" w:themeColor="accent1" w:themeShade="BF"/>
          <w:sz w:val="24"/>
          <w:szCs w:val="24"/>
        </w:rPr>
        <w:t xml:space="preserve"> </w:t>
      </w:r>
    </w:p>
    <w:p w14:paraId="6DD24BA9" w14:textId="7E72A178" w:rsidR="00E42CA0" w:rsidRPr="00581781" w:rsidRDefault="00581781" w:rsidP="001D2C25">
      <w:pPr>
        <w:pStyle w:val="ListParagraph"/>
        <w:numPr>
          <w:ilvl w:val="0"/>
          <w:numId w:val="38"/>
        </w:numPr>
        <w:spacing w:after="0"/>
        <w:textAlignment w:val="baseline"/>
        <w:rPr>
          <w:rFonts w:cstheme="minorHAnsi"/>
          <w:b/>
          <w:bCs/>
          <w:color w:val="2F5496" w:themeColor="accent1" w:themeShade="BF"/>
          <w:sz w:val="24"/>
          <w:szCs w:val="24"/>
        </w:rPr>
      </w:pPr>
      <w:hyperlink w:anchor="NO4" w:history="1">
        <w:r w:rsidR="00E42CA0" w:rsidRPr="00581781">
          <w:rPr>
            <w:rStyle w:val="Hyperlink"/>
            <w:rFonts w:cstheme="minorHAnsi"/>
            <w:b/>
            <w:bCs/>
            <w:color w:val="2F5496" w:themeColor="accent1" w:themeShade="BF"/>
            <w:sz w:val="24"/>
            <w:szCs w:val="24"/>
          </w:rPr>
          <w:t>New: National update on the Medical Examiner Service</w:t>
        </w:r>
      </w:hyperlink>
      <w:r w:rsidR="00E42CA0" w:rsidRPr="00581781">
        <w:rPr>
          <w:rFonts w:cstheme="minorHAnsi"/>
          <w:b/>
          <w:bCs/>
          <w:color w:val="2F5496" w:themeColor="accent1" w:themeShade="BF"/>
          <w:sz w:val="24"/>
          <w:szCs w:val="24"/>
        </w:rPr>
        <w:t xml:space="preserve"> </w:t>
      </w:r>
    </w:p>
    <w:p w14:paraId="373DCD81" w14:textId="24160569" w:rsidR="00E42CA0" w:rsidRPr="00581781" w:rsidRDefault="00581781" w:rsidP="001D2C25">
      <w:pPr>
        <w:pStyle w:val="ListParagraph"/>
        <w:numPr>
          <w:ilvl w:val="0"/>
          <w:numId w:val="38"/>
        </w:numPr>
        <w:spacing w:after="0"/>
        <w:textAlignment w:val="baseline"/>
        <w:rPr>
          <w:rFonts w:cstheme="minorHAnsi"/>
          <w:b/>
          <w:bCs/>
          <w:color w:val="2F5496" w:themeColor="accent1" w:themeShade="BF"/>
          <w:sz w:val="24"/>
          <w:szCs w:val="24"/>
        </w:rPr>
      </w:pPr>
      <w:hyperlink w:anchor="NO5" w:history="1">
        <w:r w:rsidR="001149AE" w:rsidRPr="00581781">
          <w:rPr>
            <w:rStyle w:val="Hyperlink"/>
            <w:rFonts w:cstheme="minorHAnsi"/>
            <w:b/>
            <w:bCs/>
            <w:color w:val="2F5496" w:themeColor="accent1" w:themeShade="BF"/>
            <w:sz w:val="24"/>
            <w:szCs w:val="24"/>
          </w:rPr>
          <w:t>New: Taskforce on the Future of General Practice</w:t>
        </w:r>
      </w:hyperlink>
      <w:r w:rsidR="001149AE" w:rsidRPr="00581781">
        <w:rPr>
          <w:rFonts w:cstheme="minorHAnsi"/>
          <w:b/>
          <w:bCs/>
          <w:color w:val="2F5496" w:themeColor="accent1" w:themeShade="BF"/>
          <w:sz w:val="24"/>
          <w:szCs w:val="24"/>
        </w:rPr>
        <w:t xml:space="preserve"> </w:t>
      </w:r>
    </w:p>
    <w:p w14:paraId="074FFA9F" w14:textId="39325963" w:rsidR="001149AE" w:rsidRPr="00581781" w:rsidRDefault="00581781" w:rsidP="001D2C25">
      <w:pPr>
        <w:pStyle w:val="ListParagraph"/>
        <w:numPr>
          <w:ilvl w:val="0"/>
          <w:numId w:val="38"/>
        </w:numPr>
        <w:spacing w:after="0"/>
        <w:textAlignment w:val="baseline"/>
        <w:rPr>
          <w:rFonts w:cstheme="minorHAnsi"/>
          <w:b/>
          <w:bCs/>
          <w:color w:val="2F5496" w:themeColor="accent1" w:themeShade="BF"/>
          <w:sz w:val="24"/>
          <w:szCs w:val="24"/>
        </w:rPr>
      </w:pPr>
      <w:hyperlink w:anchor="NO6" w:history="1">
        <w:r w:rsidR="001149AE" w:rsidRPr="00581781">
          <w:rPr>
            <w:rStyle w:val="Hyperlink"/>
            <w:rFonts w:cstheme="minorHAnsi"/>
            <w:b/>
            <w:bCs/>
            <w:color w:val="2F5496" w:themeColor="accent1" w:themeShade="BF"/>
            <w:sz w:val="24"/>
            <w:szCs w:val="24"/>
          </w:rPr>
          <w:t xml:space="preserve">New: </w:t>
        </w:r>
        <w:proofErr w:type="spellStart"/>
        <w:r w:rsidR="001149AE" w:rsidRPr="00581781">
          <w:rPr>
            <w:rStyle w:val="Hyperlink"/>
            <w:rFonts w:cstheme="minorHAnsi"/>
            <w:b/>
            <w:bCs/>
            <w:color w:val="2F5496" w:themeColor="accent1" w:themeShade="BF"/>
            <w:sz w:val="24"/>
            <w:szCs w:val="24"/>
          </w:rPr>
          <w:t>AccuRx</w:t>
        </w:r>
        <w:proofErr w:type="spellEnd"/>
        <w:r w:rsidR="001149AE" w:rsidRPr="00581781">
          <w:rPr>
            <w:rStyle w:val="Hyperlink"/>
            <w:rFonts w:cstheme="minorHAnsi"/>
            <w:b/>
            <w:bCs/>
            <w:color w:val="2F5496" w:themeColor="accent1" w:themeShade="BF"/>
            <w:sz w:val="24"/>
            <w:szCs w:val="24"/>
          </w:rPr>
          <w:t xml:space="preserve"> Self-Book</w:t>
        </w:r>
      </w:hyperlink>
      <w:r w:rsidR="001149AE" w:rsidRPr="00581781">
        <w:rPr>
          <w:rFonts w:cstheme="minorHAnsi"/>
          <w:b/>
          <w:bCs/>
          <w:color w:val="2F5496" w:themeColor="accent1" w:themeShade="BF"/>
          <w:sz w:val="24"/>
          <w:szCs w:val="24"/>
        </w:rPr>
        <w:t xml:space="preserve"> </w:t>
      </w:r>
    </w:p>
    <w:p w14:paraId="23C985BF" w14:textId="32F41B46" w:rsidR="001149AE" w:rsidRPr="00581781" w:rsidRDefault="00581781" w:rsidP="001D2C25">
      <w:pPr>
        <w:pStyle w:val="ListParagraph"/>
        <w:numPr>
          <w:ilvl w:val="0"/>
          <w:numId w:val="38"/>
        </w:numPr>
        <w:spacing w:after="0"/>
        <w:textAlignment w:val="baseline"/>
        <w:rPr>
          <w:rFonts w:cstheme="minorHAnsi"/>
          <w:b/>
          <w:bCs/>
          <w:color w:val="2F5496" w:themeColor="accent1" w:themeShade="BF"/>
          <w:sz w:val="24"/>
          <w:szCs w:val="24"/>
        </w:rPr>
      </w:pPr>
      <w:hyperlink w:anchor="NO7" w:history="1">
        <w:r w:rsidR="00811AA3" w:rsidRPr="00581781">
          <w:rPr>
            <w:rStyle w:val="Hyperlink"/>
            <w:rFonts w:cstheme="minorHAnsi"/>
            <w:b/>
            <w:bCs/>
            <w:color w:val="2F5496" w:themeColor="accent1" w:themeShade="BF"/>
            <w:sz w:val="24"/>
            <w:szCs w:val="24"/>
          </w:rPr>
          <w:t>GPC England: GP contractor / partner ballot in England before collective action to open in June</w:t>
        </w:r>
      </w:hyperlink>
    </w:p>
    <w:p w14:paraId="710C2F1C" w14:textId="08D0E18E" w:rsidR="00E075D5" w:rsidRPr="00581781" w:rsidRDefault="00581781" w:rsidP="001D2C25">
      <w:pPr>
        <w:pStyle w:val="ListParagraph"/>
        <w:numPr>
          <w:ilvl w:val="0"/>
          <w:numId w:val="38"/>
        </w:numPr>
        <w:spacing w:after="0"/>
        <w:textAlignment w:val="baseline"/>
        <w:rPr>
          <w:rFonts w:cstheme="minorHAnsi"/>
          <w:b/>
          <w:bCs/>
          <w:color w:val="2F5496" w:themeColor="accent1" w:themeShade="BF"/>
          <w:sz w:val="24"/>
          <w:szCs w:val="24"/>
        </w:rPr>
      </w:pPr>
      <w:hyperlink w:anchor="NO8" w:history="1">
        <w:r w:rsidR="00E075D5" w:rsidRPr="00581781">
          <w:rPr>
            <w:rStyle w:val="Hyperlink"/>
            <w:rFonts w:cstheme="minorHAnsi"/>
            <w:b/>
            <w:bCs/>
            <w:color w:val="2F5496" w:themeColor="accent1" w:themeShade="BF"/>
            <w:sz w:val="24"/>
            <w:szCs w:val="24"/>
          </w:rPr>
          <w:t>*GOOD NEWS*</w:t>
        </w:r>
      </w:hyperlink>
    </w:p>
    <w:p w14:paraId="08C558E7" w14:textId="77777777" w:rsidR="008C71CC" w:rsidRDefault="008C71CC" w:rsidP="00587D9E">
      <w:pPr>
        <w:spacing w:after="0"/>
        <w:textAlignment w:val="baseline"/>
        <w:rPr>
          <w:rFonts w:cstheme="minorHAnsi"/>
          <w:sz w:val="24"/>
          <w:szCs w:val="24"/>
        </w:rPr>
      </w:pPr>
    </w:p>
    <w:p w14:paraId="40F41A11" w14:textId="77777777" w:rsidR="008C71CC" w:rsidRDefault="008C71CC" w:rsidP="00587D9E">
      <w:pPr>
        <w:spacing w:after="0"/>
        <w:textAlignment w:val="baseline"/>
        <w:rPr>
          <w:rFonts w:cstheme="minorHAnsi"/>
          <w:sz w:val="24"/>
          <w:szCs w:val="24"/>
        </w:rPr>
      </w:pPr>
    </w:p>
    <w:p w14:paraId="559863A4" w14:textId="77777777" w:rsidR="008C71CC" w:rsidRDefault="008C71CC" w:rsidP="00587D9E">
      <w:pPr>
        <w:spacing w:after="0"/>
        <w:textAlignment w:val="baseline"/>
        <w:rPr>
          <w:rFonts w:cstheme="minorHAnsi"/>
          <w:sz w:val="24"/>
          <w:szCs w:val="24"/>
        </w:rPr>
      </w:pPr>
    </w:p>
    <w:p w14:paraId="1B0D129C" w14:textId="77777777" w:rsidR="008C71CC" w:rsidRDefault="008C71CC" w:rsidP="00587D9E">
      <w:pPr>
        <w:spacing w:after="0"/>
        <w:textAlignment w:val="baseline"/>
        <w:rPr>
          <w:rFonts w:cstheme="minorHAnsi"/>
          <w:sz w:val="24"/>
          <w:szCs w:val="24"/>
        </w:rPr>
      </w:pPr>
    </w:p>
    <w:p w14:paraId="6D712E69" w14:textId="77777777" w:rsidR="007B4298" w:rsidRDefault="007B4298" w:rsidP="00587D9E">
      <w:pPr>
        <w:spacing w:after="0"/>
        <w:textAlignment w:val="baseline"/>
        <w:rPr>
          <w:rFonts w:cstheme="minorHAnsi"/>
          <w:sz w:val="24"/>
          <w:szCs w:val="24"/>
        </w:rPr>
      </w:pPr>
    </w:p>
    <w:p w14:paraId="04B06FD4" w14:textId="77777777" w:rsidR="007B4298" w:rsidRDefault="007B4298" w:rsidP="00587D9E">
      <w:pPr>
        <w:spacing w:after="0"/>
        <w:textAlignment w:val="baseline"/>
        <w:rPr>
          <w:rFonts w:cstheme="minorHAnsi"/>
          <w:sz w:val="24"/>
          <w:szCs w:val="24"/>
        </w:rPr>
      </w:pPr>
    </w:p>
    <w:p w14:paraId="54DC5A98" w14:textId="77777777" w:rsidR="007B4298" w:rsidRDefault="007B4298" w:rsidP="00587D9E">
      <w:pPr>
        <w:spacing w:after="0"/>
        <w:textAlignment w:val="baseline"/>
        <w:rPr>
          <w:rFonts w:cstheme="minorHAnsi"/>
          <w:sz w:val="24"/>
          <w:szCs w:val="24"/>
        </w:rPr>
      </w:pPr>
    </w:p>
    <w:p w14:paraId="34F6C829" w14:textId="77777777" w:rsidR="007B4298" w:rsidRDefault="007B4298" w:rsidP="00587D9E">
      <w:pPr>
        <w:spacing w:after="0"/>
        <w:textAlignment w:val="baseline"/>
        <w:rPr>
          <w:rFonts w:cstheme="minorHAnsi"/>
          <w:sz w:val="24"/>
          <w:szCs w:val="24"/>
        </w:rPr>
      </w:pPr>
    </w:p>
    <w:p w14:paraId="3E34B9C0" w14:textId="77777777" w:rsidR="007B4298" w:rsidRDefault="007B4298" w:rsidP="00587D9E">
      <w:pPr>
        <w:spacing w:after="0"/>
        <w:textAlignment w:val="baseline"/>
        <w:rPr>
          <w:rFonts w:cstheme="minorHAnsi"/>
          <w:sz w:val="24"/>
          <w:szCs w:val="24"/>
        </w:rPr>
      </w:pPr>
    </w:p>
    <w:p w14:paraId="0DFC0453" w14:textId="77777777" w:rsidR="007B4298" w:rsidRDefault="007B4298" w:rsidP="00587D9E">
      <w:pPr>
        <w:spacing w:after="0"/>
        <w:textAlignment w:val="baseline"/>
        <w:rPr>
          <w:rFonts w:cstheme="minorHAnsi"/>
          <w:sz w:val="24"/>
          <w:szCs w:val="24"/>
        </w:rPr>
      </w:pPr>
    </w:p>
    <w:p w14:paraId="33E731B0" w14:textId="77777777" w:rsidR="007B4298" w:rsidRDefault="007B4298" w:rsidP="00587D9E">
      <w:pPr>
        <w:spacing w:after="0"/>
        <w:textAlignment w:val="baseline"/>
        <w:rPr>
          <w:rFonts w:cstheme="minorHAnsi"/>
          <w:sz w:val="24"/>
          <w:szCs w:val="24"/>
        </w:rPr>
      </w:pPr>
      <w:bookmarkStart w:id="0" w:name="NO1"/>
    </w:p>
    <w:p w14:paraId="0A8B5E1C" w14:textId="5B617113" w:rsidR="00795CD6" w:rsidRPr="00CB6DAD" w:rsidRDefault="00795CD6" w:rsidP="00CB6DA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color w:val="030303"/>
          <w:position w:val="17"/>
        </w:rPr>
      </w:pPr>
      <w:r w:rsidRPr="00CB6DAD">
        <w:rPr>
          <w:rStyle w:val="Strong"/>
          <w:color w:val="030303"/>
          <w:position w:val="17"/>
        </w:rPr>
        <w:t xml:space="preserve">1.Countdown to </w:t>
      </w:r>
      <w:proofErr w:type="spellStart"/>
      <w:r w:rsidRPr="00CB6DAD">
        <w:rPr>
          <w:rStyle w:val="Strong"/>
          <w:color w:val="030303"/>
          <w:position w:val="17"/>
        </w:rPr>
        <w:t>SCRa</w:t>
      </w:r>
      <w:proofErr w:type="spellEnd"/>
      <w:r w:rsidRPr="00CB6DAD">
        <w:rPr>
          <w:rStyle w:val="Strong"/>
          <w:color w:val="030303"/>
          <w:position w:val="17"/>
        </w:rPr>
        <w:t xml:space="preserve"> switch off – Monday 3 June</w:t>
      </w:r>
    </w:p>
    <w:bookmarkEnd w:id="0"/>
    <w:p w14:paraId="1FA612B1" w14:textId="77777777" w:rsidR="00795CD6" w:rsidRPr="00CB6DAD" w:rsidRDefault="00795CD6" w:rsidP="00CB6DA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CB6DAD">
        <w:rPr>
          <w:color w:val="030303"/>
          <w:position w:val="17"/>
        </w:rPr>
        <w:t xml:space="preserve">The </w:t>
      </w:r>
      <w:hyperlink r:id="rId11" w:history="1">
        <w:r w:rsidRPr="00CB6DAD">
          <w:rPr>
            <w:rStyle w:val="Hyperlink"/>
            <w:color w:val="005EB8"/>
            <w:position w:val="17"/>
          </w:rPr>
          <w:t>Summary Care Record application (</w:t>
        </w:r>
        <w:proofErr w:type="spellStart"/>
        <w:r w:rsidRPr="00CB6DAD">
          <w:rPr>
            <w:rStyle w:val="Hyperlink"/>
            <w:color w:val="005EB8"/>
            <w:position w:val="17"/>
          </w:rPr>
          <w:t>SCRa</w:t>
        </w:r>
        <w:proofErr w:type="spellEnd"/>
      </w:hyperlink>
      <w:r w:rsidRPr="00CB6DAD">
        <w:rPr>
          <w:color w:val="030303"/>
          <w:position w:val="17"/>
        </w:rPr>
        <w:t xml:space="preserve">) has been replaced by the </w:t>
      </w:r>
      <w:hyperlink r:id="rId12" w:history="1">
        <w:r w:rsidRPr="00CB6DAD">
          <w:rPr>
            <w:rStyle w:val="Hyperlink"/>
            <w:color w:val="005EB8"/>
            <w:position w:val="17"/>
          </w:rPr>
          <w:t>National Care Record Service (NCRS)</w:t>
        </w:r>
      </w:hyperlink>
      <w:r w:rsidRPr="00CB6DAD">
        <w:rPr>
          <w:color w:val="030303"/>
          <w:position w:val="17"/>
        </w:rPr>
        <w:t xml:space="preserve">. From Monday 3 June, users will no longer be able to access </w:t>
      </w:r>
      <w:proofErr w:type="spellStart"/>
      <w:r w:rsidRPr="00CB6DAD">
        <w:rPr>
          <w:color w:val="030303"/>
          <w:position w:val="17"/>
        </w:rPr>
        <w:t>SCRa</w:t>
      </w:r>
      <w:proofErr w:type="spellEnd"/>
      <w:r w:rsidRPr="00CB6DAD">
        <w:rPr>
          <w:color w:val="030303"/>
          <w:position w:val="17"/>
        </w:rPr>
        <w:t xml:space="preserve"> and will instead be redirected to NCRS. </w:t>
      </w:r>
    </w:p>
    <w:p w14:paraId="4127E4D2" w14:textId="77777777" w:rsidR="00795CD6" w:rsidRPr="00CB6DAD" w:rsidRDefault="00795CD6" w:rsidP="00CB6DA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CB6DAD">
        <w:rPr>
          <w:color w:val="030303"/>
          <w:position w:val="17"/>
        </w:rPr>
        <w:t xml:space="preserve">NHS England anticipates minimal impact for users and all existing smartcard credentials and access rights will continue to function on the new system. Users requiring support in accessing NCRS, or experiencing any technical issues should visit our </w:t>
      </w:r>
      <w:hyperlink r:id="rId13" w:history="1">
        <w:r w:rsidRPr="00CB6DAD">
          <w:rPr>
            <w:rStyle w:val="Hyperlink"/>
            <w:color w:val="005EB8"/>
            <w:position w:val="17"/>
          </w:rPr>
          <w:t>webpage</w:t>
        </w:r>
      </w:hyperlink>
      <w:r w:rsidRPr="00CB6DAD">
        <w:rPr>
          <w:color w:val="030303"/>
          <w:position w:val="17"/>
        </w:rPr>
        <w:t xml:space="preserve"> for advice or </w:t>
      </w:r>
      <w:hyperlink r:id="rId14" w:history="1">
        <w:r w:rsidRPr="00CB6DAD">
          <w:rPr>
            <w:rStyle w:val="Hyperlink"/>
            <w:color w:val="005EB8"/>
            <w:position w:val="17"/>
          </w:rPr>
          <w:t>raise a ticket</w:t>
        </w:r>
      </w:hyperlink>
      <w:r w:rsidRPr="00CB6DAD">
        <w:rPr>
          <w:color w:val="030303"/>
          <w:position w:val="17"/>
        </w:rPr>
        <w:t xml:space="preserve"> with the helpdesk. If you’re interested in helping to shape the future of NCRS, please </w:t>
      </w:r>
      <w:hyperlink r:id="rId15" w:history="1">
        <w:r w:rsidRPr="00CB6DAD">
          <w:rPr>
            <w:rStyle w:val="Hyperlink"/>
            <w:color w:val="005EB8"/>
            <w:position w:val="17"/>
          </w:rPr>
          <w:t>sign up</w:t>
        </w:r>
      </w:hyperlink>
      <w:r w:rsidRPr="00CB6DAD">
        <w:rPr>
          <w:color w:val="030303"/>
          <w:position w:val="17"/>
        </w:rPr>
        <w:t xml:space="preserve"> to join our research panel. </w:t>
      </w:r>
    </w:p>
    <w:p w14:paraId="1F7AF232" w14:textId="77777777" w:rsidR="007B4298" w:rsidRDefault="007B4298" w:rsidP="00587D9E">
      <w:pPr>
        <w:spacing w:after="0"/>
        <w:textAlignment w:val="baseline"/>
        <w:rPr>
          <w:rFonts w:ascii="Calibri" w:hAnsi="Calibri" w:cs="Calibri"/>
        </w:rPr>
      </w:pPr>
    </w:p>
    <w:p w14:paraId="5F0FA834" w14:textId="77777777" w:rsidR="00CB6DAD" w:rsidRDefault="00CB6DAD" w:rsidP="00587D9E">
      <w:pPr>
        <w:spacing w:after="0"/>
        <w:textAlignment w:val="baseline"/>
        <w:rPr>
          <w:rFonts w:ascii="Calibri" w:hAnsi="Calibri" w:cs="Calibri"/>
        </w:rPr>
      </w:pPr>
    </w:p>
    <w:p w14:paraId="613DE9FE" w14:textId="77777777" w:rsidR="00581781" w:rsidRDefault="00581781" w:rsidP="00587D9E">
      <w:pPr>
        <w:spacing w:after="0"/>
        <w:textAlignment w:val="baseline"/>
        <w:rPr>
          <w:rFonts w:ascii="Calibri" w:hAnsi="Calibri" w:cs="Calibri"/>
        </w:rPr>
      </w:pPr>
    </w:p>
    <w:p w14:paraId="110A9D4B" w14:textId="77777777" w:rsidR="00CB6DAD" w:rsidRDefault="00CB6DAD" w:rsidP="00587D9E">
      <w:pPr>
        <w:spacing w:after="0"/>
        <w:textAlignment w:val="baseline"/>
        <w:rPr>
          <w:rFonts w:ascii="Calibri" w:hAnsi="Calibri" w:cs="Calibri"/>
        </w:rPr>
      </w:pPr>
    </w:p>
    <w:p w14:paraId="5D545C27" w14:textId="7B8079CB" w:rsidR="00162E71" w:rsidRPr="00162E71" w:rsidRDefault="00162E71" w:rsidP="00162E7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color w:val="030303"/>
          <w:position w:val="17"/>
        </w:rPr>
      </w:pPr>
      <w:bookmarkStart w:id="1" w:name="NO2"/>
      <w:r w:rsidRPr="00162E71">
        <w:rPr>
          <w:rStyle w:val="Strong"/>
          <w:color w:val="030303"/>
          <w:position w:val="17"/>
        </w:rPr>
        <w:t>2.</w:t>
      </w:r>
      <w:r w:rsidRPr="00162E71">
        <w:rPr>
          <w:rStyle w:val="Strong"/>
          <w:color w:val="030303"/>
          <w:position w:val="17"/>
        </w:rPr>
        <w:t>Supporting practices with digital tools</w:t>
      </w:r>
    </w:p>
    <w:bookmarkEnd w:id="1"/>
    <w:p w14:paraId="0860383C" w14:textId="77777777" w:rsidR="00162E71" w:rsidRPr="00162E71" w:rsidRDefault="00162E71" w:rsidP="00162E7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162E71">
        <w:rPr>
          <w:color w:val="030303"/>
          <w:position w:val="17"/>
        </w:rPr>
        <w:t xml:space="preserve">Supporting practices to secure digital tools (online consultation, messaging, appointment booking, demand and capacity) is a key part of the Primary Care Access Recovery Plan and the move to </w:t>
      </w:r>
      <w:hyperlink r:id="rId16" w:history="1">
        <w:r w:rsidRPr="00162E71">
          <w:rPr>
            <w:rStyle w:val="Hyperlink"/>
            <w:color w:val="005EB8"/>
            <w:position w:val="17"/>
          </w:rPr>
          <w:t>Modern General Practice model</w:t>
        </w:r>
      </w:hyperlink>
      <w:r w:rsidRPr="00162E71">
        <w:rPr>
          <w:color w:val="030303"/>
          <w:position w:val="17"/>
        </w:rPr>
        <w:t>.</w:t>
      </w:r>
    </w:p>
    <w:p w14:paraId="5A010828" w14:textId="27590A99" w:rsidR="00CB6DAD" w:rsidRPr="00162E71" w:rsidRDefault="00162E71" w:rsidP="00162E7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162E71">
        <w:rPr>
          <w:color w:val="030303"/>
          <w:position w:val="17"/>
        </w:rPr>
        <w:t xml:space="preserve">Funding is available in 2024/25 to support the purchase of these tools. In 2024/25 there will be flexibility in the approach, given the </w:t>
      </w:r>
      <w:hyperlink r:id="rId17" w:history="1">
        <w:r w:rsidRPr="00162E71">
          <w:rPr>
            <w:rStyle w:val="Hyperlink"/>
            <w:color w:val="005EB8"/>
            <w:position w:val="17"/>
          </w:rPr>
          <w:t>Digital Pathways Framework</w:t>
        </w:r>
      </w:hyperlink>
      <w:r w:rsidRPr="00162E71">
        <w:rPr>
          <w:color w:val="030303"/>
          <w:position w:val="17"/>
        </w:rPr>
        <w:t xml:space="preserve"> delay. NHS England is asking ICBs to work collaboratively with PCNs/practices and the national Commercial and Procurement Hub to ensure the necessary tools are in place, by using or extending existing frameworks, directly contracting with suppliers who meet new national standards and by securing a greater range of demand and capacity planning tools. Practices/PCNs should continue to link with ICB digital leads to ensure their requirements are discussed. </w:t>
      </w:r>
      <w:hyperlink r:id="rId18" w:history="1">
        <w:r w:rsidRPr="00162E71">
          <w:rPr>
            <w:rStyle w:val="Hyperlink"/>
            <w:color w:val="005EB8"/>
            <w:position w:val="17"/>
          </w:rPr>
          <w:t>Read our practice guidance</w:t>
        </w:r>
      </w:hyperlink>
      <w:r w:rsidRPr="00162E71">
        <w:rPr>
          <w:color w:val="030303"/>
          <w:position w:val="17"/>
        </w:rPr>
        <w:t>.</w:t>
      </w:r>
    </w:p>
    <w:p w14:paraId="7A945884" w14:textId="77777777" w:rsidR="007B4298" w:rsidRDefault="007B4298" w:rsidP="00587D9E">
      <w:pPr>
        <w:spacing w:after="0"/>
        <w:textAlignment w:val="baseline"/>
        <w:rPr>
          <w:rFonts w:cstheme="minorHAnsi"/>
          <w:sz w:val="24"/>
          <w:szCs w:val="24"/>
        </w:rPr>
      </w:pPr>
    </w:p>
    <w:p w14:paraId="59BB3667" w14:textId="77777777" w:rsidR="00162E71" w:rsidRDefault="00162E71" w:rsidP="00587D9E">
      <w:pPr>
        <w:spacing w:after="0"/>
        <w:textAlignment w:val="baseline"/>
        <w:rPr>
          <w:rFonts w:cstheme="minorHAnsi"/>
          <w:sz w:val="24"/>
          <w:szCs w:val="24"/>
        </w:rPr>
      </w:pPr>
      <w:bookmarkStart w:id="2" w:name="NO3"/>
    </w:p>
    <w:p w14:paraId="3E04BCE0" w14:textId="3C956117" w:rsidR="00BF1EDA" w:rsidRPr="00BF1EDA" w:rsidRDefault="00BF1EDA" w:rsidP="00BF1ED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b/>
          <w:bCs/>
        </w:rPr>
      </w:pPr>
      <w:r>
        <w:rPr>
          <w:rFonts w:ascii="Calibri" w:hAnsi="Calibri" w:cs="Calibri"/>
          <w:b/>
          <w:bCs/>
        </w:rPr>
        <w:t>3.</w:t>
      </w:r>
      <w:r w:rsidRPr="00BF1EDA">
        <w:rPr>
          <w:rFonts w:ascii="Calibri" w:hAnsi="Calibri" w:cs="Calibri"/>
          <w:b/>
          <w:bCs/>
        </w:rPr>
        <w:t>SystmOne Appt mapping error affecting IIF ACC08 indicator</w:t>
      </w:r>
    </w:p>
    <w:bookmarkEnd w:id="2"/>
    <w:p w14:paraId="5146A273" w14:textId="5001E05C" w:rsidR="00BF1EDA" w:rsidRPr="00BF1EDA" w:rsidRDefault="00BF1EDA" w:rsidP="00BF1ED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BF1EDA">
        <w:rPr>
          <w:rFonts w:ascii="Calibri" w:hAnsi="Calibri" w:cs="Calibri"/>
        </w:rPr>
        <w:t xml:space="preserve">For those with practices that use </w:t>
      </w:r>
      <w:proofErr w:type="spellStart"/>
      <w:r w:rsidRPr="00BF1EDA">
        <w:rPr>
          <w:rFonts w:ascii="Calibri" w:hAnsi="Calibri" w:cs="Calibri"/>
        </w:rPr>
        <w:t>SystmOne</w:t>
      </w:r>
      <w:proofErr w:type="spellEnd"/>
      <w:r w:rsidRPr="00BF1EDA">
        <w:rPr>
          <w:rFonts w:ascii="Calibri" w:hAnsi="Calibri" w:cs="Calibri"/>
        </w:rPr>
        <w:t xml:space="preserve"> you may or may not be aware that there has been an error relating to appointment mapping that may have affected practice’s ability to meet the ACC08 IIF indicator, impacting practices financially.</w:t>
      </w:r>
    </w:p>
    <w:p w14:paraId="1DD2E62E" w14:textId="77777777" w:rsidR="00BF1EDA" w:rsidRPr="00BF1EDA" w:rsidRDefault="00BF1EDA" w:rsidP="00BF1ED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BF1EDA">
        <w:rPr>
          <w:rFonts w:ascii="Calibri" w:hAnsi="Calibri" w:cs="Calibri"/>
        </w:rPr>
        <w:t>IGPM have created a letter, attached, and sent to NHSE but you may wish to encourage any affected practices to also send to their ICB or use in your negotiations.</w:t>
      </w:r>
    </w:p>
    <w:p w14:paraId="1D9E2EAD" w14:textId="77777777" w:rsidR="00162E71" w:rsidRDefault="00162E71" w:rsidP="00587D9E">
      <w:pPr>
        <w:spacing w:after="0"/>
        <w:textAlignment w:val="baseline"/>
        <w:rPr>
          <w:rFonts w:cstheme="minorHAnsi"/>
          <w:sz w:val="24"/>
          <w:szCs w:val="24"/>
        </w:rPr>
      </w:pPr>
    </w:p>
    <w:p w14:paraId="70442D8F" w14:textId="77777777" w:rsidR="00F812B3" w:rsidRDefault="0087420B" w:rsidP="00F812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ascii="Calibri" w:hAnsi="Calibri" w:cs="Calibri"/>
          <w:color w:val="202020"/>
        </w:rPr>
      </w:pPr>
      <w:bookmarkStart w:id="3" w:name="NO4"/>
      <w:r w:rsidRPr="00F812B3">
        <w:rPr>
          <w:rStyle w:val="Strong"/>
          <w:rFonts w:ascii="Calibri" w:hAnsi="Calibri" w:cs="Calibri"/>
          <w:color w:val="000000" w:themeColor="text1"/>
        </w:rPr>
        <w:t>4.</w:t>
      </w:r>
      <w:r w:rsidR="00E13FBC" w:rsidRPr="00F812B3">
        <w:rPr>
          <w:rStyle w:val="Strong"/>
          <w:rFonts w:ascii="Calibri" w:hAnsi="Calibri" w:cs="Calibri"/>
          <w:color w:val="000000" w:themeColor="text1"/>
        </w:rPr>
        <w:t xml:space="preserve">New: </w:t>
      </w:r>
      <w:r w:rsidR="00E13FBC" w:rsidRPr="00F812B3">
        <w:rPr>
          <w:rStyle w:val="Strong"/>
          <w:rFonts w:ascii="Calibri" w:hAnsi="Calibri" w:cs="Calibri"/>
          <w:color w:val="202020"/>
        </w:rPr>
        <w:t>National update on the Medical Examiner Service</w:t>
      </w:r>
    </w:p>
    <w:bookmarkEnd w:id="3"/>
    <w:p w14:paraId="0F5FBBF3" w14:textId="1BADA94A" w:rsidR="00162E71" w:rsidRPr="0087420B" w:rsidRDefault="00E13FBC" w:rsidP="00F812B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rPr>
      </w:pPr>
      <w:r w:rsidRPr="00F812B3">
        <w:rPr>
          <w:rFonts w:ascii="Calibri" w:hAnsi="Calibri" w:cs="Calibri"/>
          <w:color w:val="202020"/>
        </w:rPr>
        <w:br/>
        <w:t>Information on the commencement of the statutory Medical Examiner Service in September 2024 is now available on the </w:t>
      </w:r>
      <w:hyperlink r:id="rId19" w:history="1">
        <w:r w:rsidRPr="00F812B3">
          <w:rPr>
            <w:rStyle w:val="Hyperlink"/>
            <w:rFonts w:ascii="Calibri" w:hAnsi="Calibri" w:cs="Calibri"/>
            <w:color w:val="005EB8"/>
          </w:rPr>
          <w:t>Department of Health and Social Care website</w:t>
        </w:r>
      </w:hyperlink>
      <w:r w:rsidRPr="00F812B3">
        <w:rPr>
          <w:rFonts w:ascii="Calibri" w:hAnsi="Calibri" w:cs="Calibri"/>
          <w:color w:val="202020"/>
        </w:rPr>
        <w:t>, the updated NHS England </w:t>
      </w:r>
      <w:hyperlink r:id="rId20" w:history="1">
        <w:r w:rsidRPr="00F812B3">
          <w:rPr>
            <w:rStyle w:val="Hyperlink"/>
            <w:rFonts w:ascii="Calibri" w:hAnsi="Calibri" w:cs="Calibri"/>
            <w:color w:val="005EB8"/>
          </w:rPr>
          <w:t>Medical Examiner webpage</w:t>
        </w:r>
      </w:hyperlink>
      <w:r w:rsidRPr="00F812B3">
        <w:rPr>
          <w:rFonts w:ascii="Calibri" w:hAnsi="Calibri" w:cs="Calibri"/>
          <w:color w:val="202020"/>
        </w:rPr>
        <w:t xml:space="preserve"> and </w:t>
      </w:r>
      <w:hyperlink r:id="rId21" w:history="1">
        <w:r w:rsidRPr="00F812B3">
          <w:rPr>
            <w:rStyle w:val="Hyperlink"/>
            <w:rFonts w:ascii="Calibri" w:hAnsi="Calibri" w:cs="Calibri"/>
            <w:color w:val="005EB8"/>
          </w:rPr>
          <w:t>GP information webpage</w:t>
        </w:r>
      </w:hyperlink>
      <w:r w:rsidRPr="00F812B3">
        <w:rPr>
          <w:rFonts w:ascii="Calibri" w:hAnsi="Calibri" w:cs="Calibri"/>
          <w:color w:val="202020"/>
        </w:rPr>
        <w:t>.</w:t>
      </w:r>
      <w:r w:rsidRPr="00F812B3">
        <w:rPr>
          <w:rFonts w:ascii="Calibri" w:hAnsi="Calibri" w:cs="Calibri"/>
          <w:color w:val="202020"/>
        </w:rPr>
        <w:br/>
      </w:r>
      <w:r w:rsidRPr="00F812B3">
        <w:rPr>
          <w:rFonts w:ascii="Calibri" w:hAnsi="Calibri" w:cs="Calibri"/>
          <w:color w:val="202020"/>
        </w:rPr>
        <w:br/>
        <w:t xml:space="preserve">DHSC are leading work around the MCCD as it is a statutory form, including the distribution of the paper copies; expect an update to the </w:t>
      </w:r>
      <w:hyperlink r:id="rId22" w:history="1">
        <w:r w:rsidRPr="00F812B3">
          <w:rPr>
            <w:rStyle w:val="Hyperlink"/>
            <w:rFonts w:ascii="Calibri" w:hAnsi="Calibri" w:cs="Calibri"/>
            <w:color w:val="005EB8"/>
          </w:rPr>
          <w:t>MCCD guidance for doctors</w:t>
        </w:r>
      </w:hyperlink>
      <w:r w:rsidRPr="00F812B3">
        <w:rPr>
          <w:rFonts w:ascii="Calibri" w:hAnsi="Calibri" w:cs="Calibri"/>
          <w:color w:val="202020"/>
        </w:rPr>
        <w:t xml:space="preserve"> in due course.</w:t>
      </w:r>
      <w:r w:rsidRPr="00F812B3">
        <w:rPr>
          <w:rFonts w:ascii="Calibri" w:hAnsi="Calibri" w:cs="Calibri"/>
          <w:color w:val="202020"/>
        </w:rPr>
        <w:br/>
      </w:r>
      <w:r w:rsidRPr="00F812B3">
        <w:rPr>
          <w:rFonts w:ascii="Calibri" w:hAnsi="Calibri" w:cs="Calibri"/>
          <w:color w:val="202020"/>
        </w:rPr>
        <w:br/>
        <w:t xml:space="preserve">The Royal College of Pathologists will be hosting their </w:t>
      </w:r>
      <w:hyperlink r:id="rId23" w:tgtFrame="_blank" w:history="1">
        <w:r w:rsidRPr="00F812B3">
          <w:rPr>
            <w:rStyle w:val="Hyperlink"/>
            <w:rFonts w:ascii="Calibri" w:hAnsi="Calibri" w:cs="Calibri"/>
            <w:color w:val="005EB8"/>
          </w:rPr>
          <w:t>second free online information event</w:t>
        </w:r>
      </w:hyperlink>
      <w:r w:rsidRPr="00F812B3">
        <w:rPr>
          <w:rFonts w:ascii="Calibri" w:hAnsi="Calibri" w:cs="Calibri"/>
          <w:color w:val="202020"/>
        </w:rPr>
        <w:t xml:space="preserve"> on 11 June from 9.30am till 1.30pm. This session is aimed at anyone working in, or with, the Medical Examiner system in England and Wales.</w:t>
      </w:r>
    </w:p>
    <w:p w14:paraId="092F294F" w14:textId="77777777" w:rsidR="00162E71" w:rsidRPr="0087420B" w:rsidRDefault="00162E71" w:rsidP="00587D9E">
      <w:pPr>
        <w:spacing w:after="0"/>
        <w:textAlignment w:val="baseline"/>
        <w:rPr>
          <w:rFonts w:ascii="Calibri" w:hAnsi="Calibri" w:cs="Calibri"/>
        </w:rPr>
      </w:pPr>
    </w:p>
    <w:p w14:paraId="3513AB0A" w14:textId="77777777" w:rsidR="00162E71" w:rsidRDefault="00162E71" w:rsidP="00587D9E">
      <w:pPr>
        <w:spacing w:after="0"/>
        <w:textAlignment w:val="baseline"/>
        <w:rPr>
          <w:rFonts w:cstheme="minorHAnsi"/>
          <w:sz w:val="24"/>
          <w:szCs w:val="24"/>
        </w:rPr>
      </w:pPr>
    </w:p>
    <w:p w14:paraId="3C6D8F1D" w14:textId="77777777" w:rsidR="007B4298" w:rsidRDefault="007B4298" w:rsidP="00587D9E">
      <w:pPr>
        <w:spacing w:after="0"/>
        <w:textAlignment w:val="baseline"/>
        <w:rPr>
          <w:rFonts w:cstheme="minorHAnsi"/>
          <w:sz w:val="24"/>
          <w:szCs w:val="24"/>
        </w:rPr>
      </w:pPr>
    </w:p>
    <w:p w14:paraId="672E95B7" w14:textId="77777777" w:rsidR="004F3042" w:rsidRDefault="004F3042" w:rsidP="00587D9E">
      <w:pPr>
        <w:spacing w:after="0"/>
        <w:textAlignment w:val="baseline"/>
        <w:rPr>
          <w:rFonts w:cstheme="minorHAnsi"/>
          <w:sz w:val="24"/>
          <w:szCs w:val="24"/>
        </w:rPr>
      </w:pPr>
    </w:p>
    <w:p w14:paraId="06A9BB58" w14:textId="77777777" w:rsidR="004F3042" w:rsidRDefault="004F3042" w:rsidP="00587D9E">
      <w:pPr>
        <w:spacing w:after="0"/>
        <w:textAlignment w:val="baseline"/>
        <w:rPr>
          <w:rFonts w:cstheme="minorHAnsi"/>
          <w:sz w:val="24"/>
          <w:szCs w:val="24"/>
        </w:rPr>
      </w:pPr>
    </w:p>
    <w:p w14:paraId="0716DF3A" w14:textId="77777777" w:rsidR="004F3042" w:rsidRDefault="004F3042" w:rsidP="004F304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ascii="Calibri" w:hAnsi="Calibri" w:cs="Calibri"/>
          <w:color w:val="202020"/>
        </w:rPr>
      </w:pPr>
      <w:bookmarkStart w:id="4" w:name="NO5"/>
      <w:r w:rsidRPr="004F3042">
        <w:rPr>
          <w:rStyle w:val="Strong"/>
          <w:rFonts w:ascii="Calibri" w:hAnsi="Calibri" w:cs="Calibri"/>
          <w:color w:val="000000" w:themeColor="text1"/>
        </w:rPr>
        <w:t>5.</w:t>
      </w:r>
      <w:r w:rsidRPr="004F3042">
        <w:rPr>
          <w:rStyle w:val="Strong"/>
          <w:rFonts w:ascii="Calibri" w:hAnsi="Calibri" w:cs="Calibri"/>
          <w:color w:val="000000" w:themeColor="text1"/>
        </w:rPr>
        <w:t xml:space="preserve">New: </w:t>
      </w:r>
      <w:r w:rsidRPr="004F3042">
        <w:rPr>
          <w:rStyle w:val="Strong"/>
          <w:rFonts w:ascii="Calibri" w:hAnsi="Calibri" w:cs="Calibri"/>
          <w:color w:val="202020"/>
        </w:rPr>
        <w:t>Taskforce on the Future of General Practice</w:t>
      </w:r>
    </w:p>
    <w:bookmarkEnd w:id="4"/>
    <w:p w14:paraId="591A4D23" w14:textId="21A74CFE" w:rsidR="004F3042" w:rsidRPr="004F3042" w:rsidRDefault="004F3042" w:rsidP="004F304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F3042">
        <w:rPr>
          <w:rFonts w:ascii="Calibri" w:hAnsi="Calibri" w:cs="Calibri"/>
          <w:color w:val="202020"/>
        </w:rPr>
        <w:br/>
        <w:t>On 15 May, Dr Onyi Okonkwo, the ICB's newly appointed Associate Non-Executive Director for Clinical Quality and GP Partner at The Wand Medical Centre, attended the inaugural meeting of the Department of Health and Social Care’s new Taskforce on the Future of General Practice, chaired by the Minister for Public Health, Start for Life and Primary Care, Andrea Leadsom.</w:t>
      </w:r>
      <w:r w:rsidRPr="004F3042">
        <w:rPr>
          <w:rFonts w:ascii="Calibri" w:hAnsi="Calibri" w:cs="Calibri"/>
          <w:color w:val="202020"/>
        </w:rPr>
        <w:br/>
        <w:t> </w:t>
      </w:r>
      <w:r w:rsidRPr="004F3042">
        <w:rPr>
          <w:rFonts w:ascii="Calibri" w:hAnsi="Calibri" w:cs="Calibri"/>
          <w:color w:val="202020"/>
        </w:rPr>
        <w:br/>
        <w:t xml:space="preserve">In February 2024 NHS England (NHSE) published the </w:t>
      </w:r>
      <w:hyperlink r:id="rId24" w:tgtFrame="_blank" w:history="1">
        <w:r w:rsidRPr="004F3042">
          <w:rPr>
            <w:rStyle w:val="Hyperlink"/>
            <w:rFonts w:ascii="Calibri" w:hAnsi="Calibri" w:cs="Calibri"/>
            <w:color w:val="005EB8"/>
          </w:rPr>
          <w:t>2024-25 GP contract details</w:t>
        </w:r>
      </w:hyperlink>
      <w:r w:rsidRPr="004F3042">
        <w:rPr>
          <w:rFonts w:ascii="Calibri" w:hAnsi="Calibri" w:cs="Calibri"/>
          <w:color w:val="202020"/>
        </w:rPr>
        <w:t xml:space="preserve">, and described it as a “stepping stone” towards “more fundamental reform”. At the same time as the contract details were published, it was announced that the Department of Health and Social Care (DHSC) would launch a Taskforce on the Future of General Practice which would convene in the spring and summer of 2024. The Taskforce is a key opportunity for DHSC and NHSE to hear from stakeholders about priorities for change in the short, </w:t>
      </w:r>
      <w:r w:rsidR="001A730B" w:rsidRPr="004F3042">
        <w:rPr>
          <w:rFonts w:ascii="Calibri" w:hAnsi="Calibri" w:cs="Calibri"/>
          <w:color w:val="202020"/>
        </w:rPr>
        <w:t>medium,</w:t>
      </w:r>
      <w:r w:rsidRPr="004F3042">
        <w:rPr>
          <w:rFonts w:ascii="Calibri" w:hAnsi="Calibri" w:cs="Calibri"/>
          <w:color w:val="202020"/>
        </w:rPr>
        <w:t xml:space="preserve"> and long-term.</w:t>
      </w:r>
    </w:p>
    <w:p w14:paraId="0EA7508E" w14:textId="77777777" w:rsidR="004F3042" w:rsidRDefault="004F3042" w:rsidP="00587D9E">
      <w:pPr>
        <w:spacing w:after="0"/>
        <w:textAlignment w:val="baseline"/>
        <w:rPr>
          <w:rFonts w:ascii="Helvetica" w:hAnsi="Helvetica" w:cs="Times New Roman"/>
          <w:color w:val="202020"/>
          <w:sz w:val="21"/>
          <w:szCs w:val="21"/>
        </w:rPr>
      </w:pPr>
    </w:p>
    <w:p w14:paraId="37510AEB" w14:textId="77777777" w:rsidR="004F3042" w:rsidRDefault="004F3042" w:rsidP="00587D9E">
      <w:pPr>
        <w:spacing w:after="0"/>
        <w:textAlignment w:val="baseline"/>
        <w:rPr>
          <w:rFonts w:ascii="Helvetica" w:hAnsi="Helvetica" w:cs="Times New Roman"/>
          <w:color w:val="202020"/>
          <w:sz w:val="21"/>
          <w:szCs w:val="21"/>
        </w:rPr>
      </w:pPr>
    </w:p>
    <w:p w14:paraId="4615F6A7" w14:textId="77777777" w:rsidR="001A730B" w:rsidRDefault="001A730B" w:rsidP="001A730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ascii="Calibri" w:hAnsi="Calibri" w:cs="Calibri"/>
          <w:color w:val="202020"/>
        </w:rPr>
      </w:pPr>
      <w:bookmarkStart w:id="5" w:name="NO6"/>
      <w:r w:rsidRPr="001A730B">
        <w:rPr>
          <w:rStyle w:val="Strong"/>
          <w:rFonts w:ascii="Calibri" w:hAnsi="Calibri" w:cs="Calibri"/>
          <w:color w:val="000000" w:themeColor="text1"/>
        </w:rPr>
        <w:t>6.</w:t>
      </w:r>
      <w:r w:rsidRPr="001A730B">
        <w:rPr>
          <w:rStyle w:val="Strong"/>
          <w:rFonts w:ascii="Calibri" w:hAnsi="Calibri" w:cs="Calibri"/>
          <w:color w:val="000000" w:themeColor="text1"/>
        </w:rPr>
        <w:t xml:space="preserve">New: </w:t>
      </w:r>
      <w:proofErr w:type="spellStart"/>
      <w:r w:rsidRPr="001A730B">
        <w:rPr>
          <w:rStyle w:val="Strong"/>
          <w:rFonts w:ascii="Calibri" w:hAnsi="Calibri" w:cs="Calibri"/>
          <w:color w:val="202020"/>
        </w:rPr>
        <w:t>AccuRx</w:t>
      </w:r>
      <w:proofErr w:type="spellEnd"/>
      <w:r w:rsidRPr="001A730B">
        <w:rPr>
          <w:rStyle w:val="Strong"/>
          <w:rFonts w:ascii="Calibri" w:hAnsi="Calibri" w:cs="Calibri"/>
          <w:color w:val="202020"/>
        </w:rPr>
        <w:t xml:space="preserve"> Self-Book</w:t>
      </w:r>
    </w:p>
    <w:bookmarkEnd w:id="5"/>
    <w:p w14:paraId="78BEC8D2" w14:textId="72579064" w:rsidR="001A730B" w:rsidRPr="001A730B" w:rsidRDefault="001A730B" w:rsidP="001A730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rPr>
      </w:pPr>
      <w:r w:rsidRPr="001A730B">
        <w:rPr>
          <w:rFonts w:ascii="Calibri" w:hAnsi="Calibri" w:cs="Calibri"/>
          <w:color w:val="202020"/>
        </w:rPr>
        <w:br/>
        <w:t xml:space="preserve">NHS England has been funding </w:t>
      </w:r>
      <w:proofErr w:type="spellStart"/>
      <w:r w:rsidRPr="001A730B">
        <w:rPr>
          <w:rFonts w:ascii="Calibri" w:hAnsi="Calibri" w:cs="Calibri"/>
          <w:color w:val="202020"/>
        </w:rPr>
        <w:t>AccuRx</w:t>
      </w:r>
      <w:proofErr w:type="spellEnd"/>
      <w:r w:rsidRPr="001A730B">
        <w:rPr>
          <w:rFonts w:ascii="Calibri" w:hAnsi="Calibri" w:cs="Calibri"/>
          <w:color w:val="202020"/>
        </w:rPr>
        <w:t xml:space="preserve"> Self Book since the COVID-19 pandemic, but they will stop funding it after 30 June 2024. Potentially, there is an alternative source of funding that could be used, it is important to note, this alternative source (PCARP) has been reduced by 0.19p per patient for the 2024-2025 financial year.</w:t>
      </w:r>
      <w:r w:rsidRPr="001A730B">
        <w:rPr>
          <w:rFonts w:ascii="Calibri" w:hAnsi="Calibri" w:cs="Calibri"/>
          <w:color w:val="202020"/>
        </w:rPr>
        <w:br/>
        <w:t> </w:t>
      </w:r>
      <w:r w:rsidRPr="001A730B">
        <w:rPr>
          <w:rFonts w:ascii="Calibri" w:hAnsi="Calibri" w:cs="Calibri"/>
          <w:color w:val="202020"/>
        </w:rPr>
        <w:br/>
        <w:t xml:space="preserve">We have </w:t>
      </w:r>
      <w:r w:rsidRPr="001A730B">
        <w:rPr>
          <w:rFonts w:ascii="Calibri" w:hAnsi="Calibri" w:cs="Calibri"/>
          <w:color w:val="202020"/>
        </w:rPr>
        <w:t>several</w:t>
      </w:r>
      <w:r w:rsidRPr="001A730B">
        <w:rPr>
          <w:rFonts w:ascii="Calibri" w:hAnsi="Calibri" w:cs="Calibri"/>
          <w:color w:val="202020"/>
        </w:rPr>
        <w:t xml:space="preserve"> tools to be taken out of this pot of funding. We are in the process of checking with the sector which tools we should focus the GP PSU supporting and funding. We want to work with the sector and understand your needs. We will request increased level of funding on your behalf to try and bridge the gap.</w:t>
      </w:r>
      <w:r w:rsidRPr="001A730B">
        <w:rPr>
          <w:rFonts w:ascii="Calibri" w:hAnsi="Calibri" w:cs="Calibri"/>
          <w:color w:val="202020"/>
        </w:rPr>
        <w:br/>
        <w:t> </w:t>
      </w:r>
      <w:r w:rsidRPr="001A730B">
        <w:rPr>
          <w:rFonts w:ascii="Calibri" w:hAnsi="Calibri" w:cs="Calibri"/>
          <w:color w:val="202020"/>
        </w:rPr>
        <w:br/>
        <w:t xml:space="preserve">If the sector decides to prioritise </w:t>
      </w:r>
      <w:proofErr w:type="spellStart"/>
      <w:r w:rsidRPr="001A730B">
        <w:rPr>
          <w:rFonts w:ascii="Calibri" w:hAnsi="Calibri" w:cs="Calibri"/>
          <w:color w:val="202020"/>
        </w:rPr>
        <w:t>AccuRx</w:t>
      </w:r>
      <w:proofErr w:type="spellEnd"/>
      <w:r w:rsidRPr="001A730B">
        <w:rPr>
          <w:rFonts w:ascii="Calibri" w:hAnsi="Calibri" w:cs="Calibri"/>
          <w:color w:val="202020"/>
        </w:rPr>
        <w:t xml:space="preserve"> Self Book and our finances are approved, there must be a clause in the contract the practice has entered with </w:t>
      </w:r>
      <w:proofErr w:type="spellStart"/>
      <w:r w:rsidRPr="001A730B">
        <w:rPr>
          <w:rFonts w:ascii="Calibri" w:hAnsi="Calibri" w:cs="Calibri"/>
          <w:color w:val="202020"/>
        </w:rPr>
        <w:t>Accurx</w:t>
      </w:r>
      <w:proofErr w:type="spellEnd"/>
      <w:r w:rsidRPr="001A730B">
        <w:rPr>
          <w:rFonts w:ascii="Calibri" w:hAnsi="Calibri" w:cs="Calibri"/>
          <w:color w:val="202020"/>
        </w:rPr>
        <w:t>, that the costs can be transferred to the GP PSU. However, practices should be prepared in case the finances do not come through and consider contingency plans in place by 30 June 2024.</w:t>
      </w:r>
      <w:r w:rsidRPr="001A730B">
        <w:rPr>
          <w:rFonts w:ascii="Calibri" w:hAnsi="Calibri" w:cs="Calibri"/>
          <w:color w:val="202020"/>
        </w:rPr>
        <w:br/>
        <w:t> </w:t>
      </w:r>
      <w:r w:rsidRPr="001A730B">
        <w:rPr>
          <w:rFonts w:ascii="Calibri" w:hAnsi="Calibri" w:cs="Calibri"/>
          <w:color w:val="202020"/>
        </w:rPr>
        <w:br/>
        <w:t xml:space="preserve">Please note </w:t>
      </w:r>
      <w:proofErr w:type="spellStart"/>
      <w:r w:rsidRPr="001A730B">
        <w:rPr>
          <w:rFonts w:ascii="Calibri" w:hAnsi="Calibri" w:cs="Calibri"/>
          <w:color w:val="202020"/>
        </w:rPr>
        <w:t>AccuRx</w:t>
      </w:r>
      <w:proofErr w:type="spellEnd"/>
      <w:r w:rsidRPr="001A730B">
        <w:rPr>
          <w:rFonts w:ascii="Calibri" w:hAnsi="Calibri" w:cs="Calibri"/>
          <w:color w:val="202020"/>
        </w:rPr>
        <w:t xml:space="preserve"> self-book is separate to the </w:t>
      </w:r>
      <w:proofErr w:type="spellStart"/>
      <w:r w:rsidRPr="001A730B">
        <w:rPr>
          <w:rFonts w:ascii="Calibri" w:hAnsi="Calibri" w:cs="Calibri"/>
          <w:color w:val="202020"/>
        </w:rPr>
        <w:t>accuRx</w:t>
      </w:r>
      <w:proofErr w:type="spellEnd"/>
      <w:r w:rsidRPr="001A730B">
        <w:rPr>
          <w:rFonts w:ascii="Calibri" w:hAnsi="Calibri" w:cs="Calibri"/>
          <w:color w:val="202020"/>
        </w:rPr>
        <w:t xml:space="preserve"> bundle (SMS, batch, triage) that practices have, there is no change to the </w:t>
      </w:r>
      <w:proofErr w:type="spellStart"/>
      <w:r w:rsidRPr="001A730B">
        <w:rPr>
          <w:rFonts w:ascii="Calibri" w:hAnsi="Calibri" w:cs="Calibri"/>
          <w:color w:val="202020"/>
        </w:rPr>
        <w:t>Accurx</w:t>
      </w:r>
      <w:proofErr w:type="spellEnd"/>
      <w:r w:rsidRPr="001A730B">
        <w:rPr>
          <w:rFonts w:ascii="Calibri" w:hAnsi="Calibri" w:cs="Calibri"/>
          <w:color w:val="202020"/>
        </w:rPr>
        <w:t xml:space="preserve"> bundle that is still currently funded by the GP PSU.</w:t>
      </w:r>
    </w:p>
    <w:p w14:paraId="71A48973" w14:textId="77777777" w:rsidR="001A730B" w:rsidRDefault="001A730B" w:rsidP="00587D9E">
      <w:pPr>
        <w:spacing w:after="0"/>
        <w:textAlignment w:val="baseline"/>
        <w:rPr>
          <w:rFonts w:cstheme="minorHAnsi"/>
          <w:sz w:val="24"/>
          <w:szCs w:val="24"/>
        </w:rPr>
      </w:pPr>
    </w:p>
    <w:p w14:paraId="596D2FB9" w14:textId="77777777" w:rsidR="001A730B" w:rsidRDefault="001A730B" w:rsidP="00587D9E">
      <w:pPr>
        <w:spacing w:after="0"/>
        <w:textAlignment w:val="baseline"/>
        <w:rPr>
          <w:rFonts w:cstheme="minorHAnsi"/>
          <w:sz w:val="24"/>
          <w:szCs w:val="24"/>
        </w:rPr>
      </w:pPr>
    </w:p>
    <w:p w14:paraId="6515E8FB" w14:textId="77777777" w:rsidR="001A730B" w:rsidRDefault="001A730B" w:rsidP="00587D9E">
      <w:pPr>
        <w:spacing w:after="0"/>
        <w:textAlignment w:val="baseline"/>
        <w:rPr>
          <w:rFonts w:cstheme="minorHAnsi"/>
          <w:sz w:val="24"/>
          <w:szCs w:val="24"/>
        </w:rPr>
      </w:pPr>
    </w:p>
    <w:p w14:paraId="52931511" w14:textId="77777777" w:rsidR="0040427A" w:rsidRDefault="0040427A" w:rsidP="0040427A">
      <w:pPr>
        <w:rPr>
          <w:rFonts w:ascii="Calibri" w:hAnsi="Calibri" w:cs="Calibri"/>
          <w:b/>
          <w:bCs/>
          <w:highlight w:val="yellow"/>
          <w:lang w:val="en-US" w:eastAsia="en-GB"/>
        </w:rPr>
      </w:pPr>
    </w:p>
    <w:p w14:paraId="4E33883B" w14:textId="77777777" w:rsidR="0040427A" w:rsidRDefault="0040427A" w:rsidP="0040427A">
      <w:pPr>
        <w:rPr>
          <w:rFonts w:ascii="Calibri" w:hAnsi="Calibri" w:cs="Calibri"/>
          <w:b/>
          <w:bCs/>
          <w:highlight w:val="yellow"/>
          <w:lang w:val="en-US" w:eastAsia="en-GB"/>
        </w:rPr>
      </w:pPr>
    </w:p>
    <w:p w14:paraId="5220F163" w14:textId="77777777" w:rsidR="0040427A" w:rsidRDefault="0040427A" w:rsidP="0040427A">
      <w:pPr>
        <w:rPr>
          <w:rFonts w:ascii="Calibri" w:hAnsi="Calibri" w:cs="Calibri"/>
          <w:b/>
          <w:bCs/>
          <w:highlight w:val="yellow"/>
          <w:lang w:val="en-US" w:eastAsia="en-GB"/>
        </w:rPr>
      </w:pPr>
    </w:p>
    <w:p w14:paraId="2B9852E1" w14:textId="77777777" w:rsidR="002346B1" w:rsidRDefault="002346B1" w:rsidP="0040427A">
      <w:pPr>
        <w:rPr>
          <w:rFonts w:ascii="Calibri" w:hAnsi="Calibri" w:cs="Calibri"/>
          <w:b/>
          <w:bCs/>
          <w:highlight w:val="yellow"/>
          <w:lang w:val="en-US" w:eastAsia="en-GB"/>
        </w:rPr>
      </w:pPr>
    </w:p>
    <w:p w14:paraId="2DD612CF" w14:textId="77777777" w:rsidR="0040427A" w:rsidRDefault="0040427A" w:rsidP="0040427A">
      <w:pPr>
        <w:rPr>
          <w:rFonts w:ascii="Calibri" w:hAnsi="Calibri" w:cs="Calibri"/>
          <w:b/>
          <w:bCs/>
          <w:highlight w:val="yellow"/>
          <w:lang w:val="en-US" w:eastAsia="en-GB"/>
        </w:rPr>
      </w:pPr>
      <w:bookmarkStart w:id="6" w:name="NO7"/>
    </w:p>
    <w:p w14:paraId="7D78DD29" w14:textId="7311DAD4" w:rsidR="0040427A" w:rsidRPr="002346B1" w:rsidRDefault="0040427A" w:rsidP="002346B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b/>
          <w:bCs/>
          <w:lang w:val="en-US" w:eastAsia="en-GB"/>
        </w:rPr>
      </w:pPr>
      <w:r w:rsidRPr="002346B1">
        <w:rPr>
          <w:rFonts w:ascii="Calibri" w:hAnsi="Calibri" w:cs="Calibri"/>
          <w:b/>
          <w:bCs/>
          <w:lang w:val="en-US" w:eastAsia="en-GB"/>
        </w:rPr>
        <w:t>7.</w:t>
      </w:r>
      <w:r w:rsidRPr="002346B1">
        <w:rPr>
          <w:rFonts w:ascii="Calibri" w:hAnsi="Calibri" w:cs="Calibri"/>
          <w:b/>
          <w:bCs/>
          <w:lang w:val="en-US" w:eastAsia="en-GB"/>
        </w:rPr>
        <w:t xml:space="preserve">GPC England: GP contractor / partner ballot in England before collective action to open in </w:t>
      </w:r>
      <w:proofErr w:type="gramStart"/>
      <w:r w:rsidRPr="002346B1">
        <w:rPr>
          <w:rFonts w:ascii="Calibri" w:hAnsi="Calibri" w:cs="Calibri"/>
          <w:b/>
          <w:bCs/>
          <w:lang w:val="en-US" w:eastAsia="en-GB"/>
        </w:rPr>
        <w:t>June</w:t>
      </w:r>
      <w:proofErr w:type="gramEnd"/>
    </w:p>
    <w:bookmarkEnd w:id="6"/>
    <w:p w14:paraId="6833020A" w14:textId="18AA3952" w:rsidR="0040427A" w:rsidRPr="002346B1" w:rsidRDefault="0040427A" w:rsidP="002346B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lang w:eastAsia="en-GB"/>
        </w:rPr>
      </w:pPr>
      <w:r w:rsidRPr="002346B1">
        <w:rPr>
          <w:rFonts w:ascii="Calibri" w:hAnsi="Calibri" w:cs="Calibri"/>
          <w:lang w:eastAsia="en-GB"/>
        </w:rPr>
        <w:t>Today at GPC England, GPCE voted to move ahead with a non-statutory ballot for collective action in England. </w:t>
      </w:r>
    </w:p>
    <w:p w14:paraId="0AD4CF4F" w14:textId="54E61A3A" w:rsidR="0040427A" w:rsidRPr="002346B1" w:rsidRDefault="0040427A" w:rsidP="002346B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lang w:eastAsia="en-GB"/>
        </w:rPr>
      </w:pPr>
      <w:r w:rsidRPr="002346B1">
        <w:rPr>
          <w:rFonts w:ascii="Calibri" w:hAnsi="Calibri" w:cs="Calibri"/>
          <w:lang w:eastAsia="en-GB"/>
        </w:rPr>
        <w:t>The ballot will be open to all GP contractors and partners. We need you to vote YES, to send a message to Government that we are ready to stand up for a better service for our patients, and to protect our practices. </w:t>
      </w:r>
    </w:p>
    <w:p w14:paraId="266618E4" w14:textId="146E97F8" w:rsidR="0040427A" w:rsidRPr="002346B1" w:rsidRDefault="0040427A" w:rsidP="002346B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lang w:eastAsia="en-GB"/>
        </w:rPr>
      </w:pPr>
      <w:r w:rsidRPr="002346B1">
        <w:rPr>
          <w:rFonts w:ascii="Calibri" w:hAnsi="Calibri" w:cs="Calibri"/>
          <w:lang w:eastAsia="en-GB"/>
        </w:rPr>
        <w:t xml:space="preserve">To vote in the non-statutory ballot, please login to </w:t>
      </w:r>
      <w:r w:rsidRPr="002346B1">
        <w:rPr>
          <w:rFonts w:ascii="Calibri" w:hAnsi="Calibri" w:cs="Calibri"/>
          <w:b/>
          <w:bCs/>
          <w:lang w:eastAsia="en-GB"/>
        </w:rPr>
        <w:t>bma.org.uk</w:t>
      </w:r>
      <w:r w:rsidRPr="002346B1">
        <w:rPr>
          <w:rFonts w:ascii="Calibri" w:hAnsi="Calibri" w:cs="Calibri"/>
          <w:lang w:eastAsia="en-GB"/>
        </w:rPr>
        <w:t xml:space="preserve"> and check your details are correct. We must have the right information for your vote to count, so please double check.  If you have any issues updating your details, please email </w:t>
      </w:r>
      <w:hyperlink r:id="rId25" w:tgtFrame="_blank" w:tooltip="mailto:gpcontract@bma.org.uk" w:history="1">
        <w:r w:rsidRPr="002346B1">
          <w:rPr>
            <w:rStyle w:val="Hyperlink"/>
            <w:rFonts w:ascii="Calibri" w:hAnsi="Calibri" w:cs="Calibri"/>
            <w:color w:val="0000FF"/>
            <w:lang w:eastAsia="en-GB"/>
          </w:rPr>
          <w:t>gpcontract@bma.org.uk</w:t>
        </w:r>
      </w:hyperlink>
      <w:r w:rsidRPr="002346B1">
        <w:rPr>
          <w:rFonts w:ascii="Calibri" w:hAnsi="Calibri" w:cs="Calibri"/>
          <w:lang w:eastAsia="en-GB"/>
        </w:rPr>
        <w:t xml:space="preserve"> for further assistance.</w:t>
      </w:r>
    </w:p>
    <w:p w14:paraId="35D5B819" w14:textId="77777777" w:rsidR="0040427A" w:rsidRPr="002346B1" w:rsidRDefault="0040427A" w:rsidP="002346B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lang w:eastAsia="en-GB"/>
        </w:rPr>
      </w:pPr>
      <w:r w:rsidRPr="002346B1">
        <w:rPr>
          <w:rFonts w:ascii="Calibri" w:hAnsi="Calibri" w:cs="Calibri"/>
          <w:lang w:eastAsia="en-GB"/>
        </w:rPr>
        <w:t xml:space="preserve">The ballot </w:t>
      </w:r>
      <w:r w:rsidRPr="002346B1">
        <w:rPr>
          <w:rFonts w:ascii="Calibri" w:hAnsi="Calibri" w:cs="Calibri"/>
          <w:b/>
          <w:bCs/>
          <w:lang w:eastAsia="en-GB"/>
        </w:rPr>
        <w:t>will open 17 June and close on 29 July. </w:t>
      </w:r>
      <w:r w:rsidRPr="002346B1">
        <w:rPr>
          <w:rFonts w:ascii="Calibri" w:hAnsi="Calibri" w:cs="Calibri"/>
          <w:lang w:eastAsia="en-GB"/>
        </w:rPr>
        <w:t xml:space="preserve">Please look out for an email from </w:t>
      </w:r>
      <w:proofErr w:type="spellStart"/>
      <w:r w:rsidRPr="002346B1">
        <w:rPr>
          <w:rFonts w:ascii="Calibri" w:hAnsi="Calibri" w:cs="Calibri"/>
          <w:lang w:eastAsia="en-GB"/>
        </w:rPr>
        <w:t>Civica</w:t>
      </w:r>
      <w:proofErr w:type="spellEnd"/>
      <w:r w:rsidRPr="002346B1">
        <w:rPr>
          <w:rFonts w:ascii="Calibri" w:hAnsi="Calibri" w:cs="Calibri"/>
          <w:lang w:eastAsia="en-GB"/>
        </w:rPr>
        <w:t xml:space="preserve"> which will allow you to vote.</w:t>
      </w:r>
    </w:p>
    <w:p w14:paraId="2192C0C9" w14:textId="77777777" w:rsidR="001A730B" w:rsidRDefault="001A730B" w:rsidP="00587D9E">
      <w:pPr>
        <w:spacing w:after="0"/>
        <w:textAlignment w:val="baseline"/>
        <w:rPr>
          <w:rFonts w:cstheme="minorHAnsi"/>
          <w:sz w:val="24"/>
          <w:szCs w:val="24"/>
        </w:rPr>
      </w:pPr>
    </w:p>
    <w:p w14:paraId="4D2B51C2" w14:textId="77777777" w:rsidR="001A730B" w:rsidRDefault="001A730B" w:rsidP="00587D9E">
      <w:pPr>
        <w:spacing w:after="0"/>
        <w:textAlignment w:val="baseline"/>
        <w:rPr>
          <w:rFonts w:cstheme="minorHAnsi"/>
          <w:sz w:val="24"/>
          <w:szCs w:val="24"/>
        </w:rPr>
      </w:pPr>
    </w:p>
    <w:p w14:paraId="4B85F6A2" w14:textId="02CE9694" w:rsidR="003C4FB6" w:rsidRPr="003C4FB6" w:rsidRDefault="003C4FB6" w:rsidP="003C4FB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b/>
          <w:bCs/>
        </w:rPr>
      </w:pPr>
      <w:bookmarkStart w:id="7" w:name="NO8"/>
      <w:r w:rsidRPr="003C4FB6">
        <w:rPr>
          <w:rFonts w:ascii="Calibri" w:hAnsi="Calibri" w:cs="Calibri"/>
          <w:b/>
          <w:bCs/>
        </w:rPr>
        <w:t>8.</w:t>
      </w:r>
      <w:r w:rsidRPr="003C4FB6">
        <w:rPr>
          <w:rFonts w:ascii="Calibri" w:hAnsi="Calibri" w:cs="Calibri"/>
          <w:b/>
          <w:bCs/>
        </w:rPr>
        <w:t xml:space="preserve">*GOOD NEWS* </w:t>
      </w:r>
    </w:p>
    <w:bookmarkEnd w:id="7"/>
    <w:p w14:paraId="3A3B1AED" w14:textId="52C2CA02" w:rsidR="003C4FB6" w:rsidRPr="003C4FB6" w:rsidRDefault="003C4FB6" w:rsidP="003C4FB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3C4FB6">
        <w:rPr>
          <w:rFonts w:ascii="Calibri" w:hAnsi="Calibri" w:cs="Calibri"/>
        </w:rPr>
        <w:t xml:space="preserve">The BMA Board have *approved* a funding budget for GPC England to use, should it determine it undertakes action as a profession in response to its 24/25 contract </w:t>
      </w:r>
      <w:r w:rsidRPr="003C4FB6">
        <w:rPr>
          <w:rFonts w:ascii="Calibri" w:hAnsi="Calibri" w:cs="Calibri"/>
        </w:rPr>
        <w:t>imposition.</w:t>
      </w:r>
    </w:p>
    <w:p w14:paraId="6977C3E0" w14:textId="7F2847C5" w:rsidR="003C4FB6" w:rsidRPr="003C4FB6" w:rsidRDefault="003C4FB6" w:rsidP="003C4FB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3C4FB6">
        <w:rPr>
          <w:rFonts w:ascii="Calibri" w:hAnsi="Calibri" w:cs="Calibri"/>
        </w:rPr>
        <w:t xml:space="preserve">Please read this Tweet </w:t>
      </w:r>
      <w:r w:rsidRPr="003C4FB6">
        <w:rPr>
          <w:rFonts w:ascii="Calibri" w:hAnsi="Calibri" w:cs="Calibri"/>
        </w:rPr>
        <w:t>below and</w:t>
      </w:r>
      <w:r w:rsidRPr="003C4FB6">
        <w:rPr>
          <w:rFonts w:ascii="Calibri" w:hAnsi="Calibri" w:cs="Calibri"/>
        </w:rPr>
        <w:t xml:space="preserve"> understand *why* GPs may want to collectively </w:t>
      </w:r>
      <w:r w:rsidRPr="003C4FB6">
        <w:rPr>
          <w:rFonts w:ascii="Calibri" w:hAnsi="Calibri" w:cs="Calibri"/>
        </w:rPr>
        <w:t>act.</w:t>
      </w:r>
    </w:p>
    <w:p w14:paraId="198D5EB8" w14:textId="44A3901F" w:rsidR="003C4FB6" w:rsidRPr="003C4FB6" w:rsidRDefault="003C4FB6" w:rsidP="003C4FB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3C4FB6">
        <w:rPr>
          <w:rFonts w:ascii="Calibri" w:hAnsi="Calibri" w:cs="Calibri"/>
        </w:rPr>
        <w:t>The *aim* of any proposed action would be to get the *necessary leverage* to *deliver essential requirements* for the *25/26 contract*, but *even more*, to get the *next Government to agree to a NEW contract*. </w:t>
      </w:r>
    </w:p>
    <w:p w14:paraId="056081FF" w14:textId="33FD73C4" w:rsidR="003C4FB6" w:rsidRPr="003C4FB6" w:rsidRDefault="003C4FB6" w:rsidP="003C4FB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3C4FB6">
        <w:rPr>
          <w:rFonts w:ascii="Calibri" w:hAnsi="Calibri" w:cs="Calibri"/>
        </w:rPr>
        <w:t xml:space="preserve">GMS is </w:t>
      </w:r>
      <w:r w:rsidRPr="003C4FB6">
        <w:rPr>
          <w:rFonts w:ascii="Calibri" w:hAnsi="Calibri" w:cs="Calibri"/>
        </w:rPr>
        <w:t>moribund.</w:t>
      </w:r>
    </w:p>
    <w:p w14:paraId="43346ADC" w14:textId="5FECBC53" w:rsidR="003C4FB6" w:rsidRPr="003C4FB6" w:rsidRDefault="003C4FB6" w:rsidP="003C4FB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3C4FB6">
        <w:rPr>
          <w:rFonts w:ascii="Calibri" w:hAnsi="Calibri" w:cs="Calibri"/>
        </w:rPr>
        <w:t xml:space="preserve">It locks partners, </w:t>
      </w:r>
      <w:r w:rsidRPr="003C4FB6">
        <w:rPr>
          <w:rFonts w:ascii="Calibri" w:hAnsi="Calibri" w:cs="Calibri"/>
        </w:rPr>
        <w:t>sessional</w:t>
      </w:r>
      <w:r w:rsidRPr="003C4FB6">
        <w:rPr>
          <w:rFonts w:ascii="Calibri" w:hAnsi="Calibri" w:cs="Calibri"/>
        </w:rPr>
        <w:t xml:space="preserve">, practice nurses and staff in a </w:t>
      </w:r>
      <w:r w:rsidRPr="003C4FB6">
        <w:rPr>
          <w:rFonts w:ascii="Calibri" w:hAnsi="Calibri" w:cs="Calibri"/>
        </w:rPr>
        <w:t>zero-sum</w:t>
      </w:r>
      <w:r w:rsidRPr="003C4FB6">
        <w:rPr>
          <w:rFonts w:ascii="Calibri" w:hAnsi="Calibri" w:cs="Calibri"/>
        </w:rPr>
        <w:t xml:space="preserve"> game of blame for poor working conditions and </w:t>
      </w:r>
      <w:r w:rsidRPr="003C4FB6">
        <w:rPr>
          <w:rFonts w:ascii="Calibri" w:hAnsi="Calibri" w:cs="Calibri"/>
        </w:rPr>
        <w:t>earnings.</w:t>
      </w:r>
    </w:p>
    <w:p w14:paraId="5682D763" w14:textId="11904FAE" w:rsidR="003C4FB6" w:rsidRPr="003C4FB6" w:rsidRDefault="003C4FB6" w:rsidP="003C4FB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3C4FB6">
        <w:rPr>
          <w:rFonts w:ascii="Calibri" w:hAnsi="Calibri" w:cs="Calibri"/>
        </w:rPr>
        <w:t xml:space="preserve">It is impossible to deliver an infinite </w:t>
      </w:r>
      <w:r w:rsidRPr="003C4FB6">
        <w:rPr>
          <w:rFonts w:ascii="Calibri" w:hAnsi="Calibri" w:cs="Calibri"/>
        </w:rPr>
        <w:t>open-ended</w:t>
      </w:r>
      <w:r w:rsidRPr="003C4FB6">
        <w:rPr>
          <w:rFonts w:ascii="Calibri" w:hAnsi="Calibri" w:cs="Calibri"/>
        </w:rPr>
        <w:t xml:space="preserve"> </w:t>
      </w:r>
      <w:r w:rsidRPr="003C4FB6">
        <w:rPr>
          <w:rFonts w:ascii="Calibri" w:hAnsi="Calibri" w:cs="Calibri"/>
        </w:rPr>
        <w:t>contract.</w:t>
      </w:r>
    </w:p>
    <w:p w14:paraId="00537F5F" w14:textId="63570372" w:rsidR="003C4FB6" w:rsidRPr="003C4FB6" w:rsidRDefault="003C4FB6" w:rsidP="003C4FB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3C4FB6">
        <w:rPr>
          <w:rFonts w:ascii="Tahoma" w:hAnsi="Tahoma" w:cs="Tahoma"/>
        </w:rPr>
        <w:t>⁠</w:t>
      </w:r>
      <w:r w:rsidRPr="003C4FB6">
        <w:rPr>
          <w:rFonts w:ascii="Calibri" w:hAnsi="Calibri" w:cs="Calibri"/>
        </w:rPr>
        <w:t>It is unconscionable to expect unlimited liability in delivering the undeliverable</w:t>
      </w:r>
    </w:p>
    <w:p w14:paraId="1B513F61" w14:textId="627120D5" w:rsidR="003C4FB6" w:rsidRPr="003C4FB6" w:rsidRDefault="003C4FB6" w:rsidP="003C4FB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3C4FB6">
        <w:rPr>
          <w:rFonts w:ascii="Tahoma" w:hAnsi="Tahoma" w:cs="Tahoma"/>
        </w:rPr>
        <w:t>⁠</w:t>
      </w:r>
      <w:r w:rsidRPr="003C4FB6">
        <w:rPr>
          <w:rFonts w:ascii="Calibri" w:hAnsi="Calibri" w:cs="Calibri"/>
        </w:rPr>
        <w:t>It is used as a stick to beat us that we only undertake a service if we are paid to do so, due to perverse commissioning incentives of recent years.</w:t>
      </w:r>
    </w:p>
    <w:p w14:paraId="6F733371" w14:textId="44BD0743" w:rsidR="003C4FB6" w:rsidRPr="003C4FB6" w:rsidRDefault="003C4FB6" w:rsidP="003C4FB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3C4FB6">
        <w:rPr>
          <w:rFonts w:ascii="Calibri" w:hAnsi="Calibri" w:cs="Calibri"/>
        </w:rPr>
        <w:t>We must _restore the core_ to survive. That means shifting QOF and _so much more_ into our baseline funding:</w:t>
      </w:r>
    </w:p>
    <w:p w14:paraId="318966F8" w14:textId="77777777" w:rsidR="003C4FB6" w:rsidRPr="003C4FB6" w:rsidRDefault="003C4FB6" w:rsidP="003C4FB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hyperlink r:id="rId26" w:history="1">
        <w:r w:rsidRPr="003C4FB6">
          <w:rPr>
            <w:rStyle w:val="Hyperlink"/>
            <w:rFonts w:ascii="Calibri" w:hAnsi="Calibri" w:cs="Calibri"/>
          </w:rPr>
          <w:t>https://x.com/anish_k_patel/status/1755952672778101012?s=48&amp;t=HzdJH8F6V1mE-9k-uBOJEQ</w:t>
        </w:r>
      </w:hyperlink>
    </w:p>
    <w:p w14:paraId="358F8E8D" w14:textId="77777777" w:rsidR="001A730B" w:rsidRDefault="001A730B" w:rsidP="00587D9E">
      <w:pPr>
        <w:spacing w:after="0"/>
        <w:textAlignment w:val="baseline"/>
        <w:rPr>
          <w:rFonts w:cstheme="minorHAnsi"/>
          <w:sz w:val="24"/>
          <w:szCs w:val="24"/>
        </w:rPr>
      </w:pPr>
    </w:p>
    <w:p w14:paraId="7DD3FD5E" w14:textId="77777777" w:rsidR="001A730B" w:rsidRDefault="001A730B" w:rsidP="00587D9E">
      <w:pPr>
        <w:spacing w:after="0"/>
        <w:textAlignment w:val="baseline"/>
        <w:rPr>
          <w:rFonts w:cstheme="minorHAnsi"/>
          <w:sz w:val="24"/>
          <w:szCs w:val="24"/>
        </w:rPr>
      </w:pPr>
    </w:p>
    <w:p w14:paraId="09E5CC12" w14:textId="77777777" w:rsidR="001A730B" w:rsidRDefault="001A730B" w:rsidP="00587D9E">
      <w:pPr>
        <w:spacing w:after="0"/>
        <w:textAlignment w:val="baseline"/>
        <w:rPr>
          <w:rFonts w:cstheme="minorHAnsi"/>
          <w:sz w:val="24"/>
          <w:szCs w:val="24"/>
        </w:rPr>
      </w:pPr>
    </w:p>
    <w:p w14:paraId="576E60AC" w14:textId="77777777" w:rsidR="001A730B" w:rsidRDefault="001A730B" w:rsidP="00587D9E">
      <w:pPr>
        <w:spacing w:after="0"/>
        <w:textAlignment w:val="baseline"/>
        <w:rPr>
          <w:rFonts w:cstheme="minorHAnsi"/>
          <w:sz w:val="24"/>
          <w:szCs w:val="24"/>
        </w:rPr>
      </w:pPr>
    </w:p>
    <w:p w14:paraId="005B97CA" w14:textId="77777777" w:rsidR="001A730B" w:rsidRDefault="001A730B" w:rsidP="00587D9E">
      <w:pPr>
        <w:spacing w:after="0"/>
        <w:textAlignment w:val="baseline"/>
        <w:rPr>
          <w:rFonts w:cstheme="minorHAnsi"/>
          <w:sz w:val="24"/>
          <w:szCs w:val="24"/>
        </w:rPr>
      </w:pPr>
    </w:p>
    <w:p w14:paraId="6AD606E5" w14:textId="77777777" w:rsidR="001A730B" w:rsidRPr="00587D9E" w:rsidRDefault="001A730B" w:rsidP="00587D9E">
      <w:pPr>
        <w:spacing w:after="0"/>
        <w:textAlignment w:val="baseline"/>
        <w:rPr>
          <w:rFonts w:cstheme="minorHAnsi"/>
          <w:sz w:val="24"/>
          <w:szCs w:val="24"/>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7"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36DB60A" w14:textId="77777777" w:rsidR="00FD5701" w:rsidRDefault="00FD5701"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64BDECF9" w14:textId="77777777" w:rsidR="00BF48CE" w:rsidRDefault="00BF48CE"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8"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9"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0"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A40293">
      <w:headerReference w:type="default" r:id="rId31"/>
      <w:footerReference w:type="default" r:id="rId32"/>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9C54A" w14:textId="77777777" w:rsidR="0026181F" w:rsidRDefault="0026181F" w:rsidP="001B4E81">
      <w:pPr>
        <w:spacing w:after="0" w:line="240" w:lineRule="auto"/>
      </w:pPr>
      <w:r>
        <w:separator/>
      </w:r>
    </w:p>
  </w:endnote>
  <w:endnote w:type="continuationSeparator" w:id="0">
    <w:p w14:paraId="1E0D9A18" w14:textId="77777777" w:rsidR="0026181F" w:rsidRDefault="0026181F" w:rsidP="001B4E81">
      <w:pPr>
        <w:spacing w:after="0" w:line="240" w:lineRule="auto"/>
      </w:pPr>
      <w:r>
        <w:continuationSeparator/>
      </w:r>
    </w:p>
  </w:endnote>
  <w:endnote w:type="continuationNotice" w:id="1">
    <w:p w14:paraId="651DB088" w14:textId="77777777" w:rsidR="0026181F" w:rsidRDefault="00261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4F5E3" w14:textId="77777777" w:rsidR="0026181F" w:rsidRDefault="0026181F" w:rsidP="001B4E81">
      <w:pPr>
        <w:spacing w:after="0" w:line="240" w:lineRule="auto"/>
      </w:pPr>
      <w:r>
        <w:separator/>
      </w:r>
    </w:p>
  </w:footnote>
  <w:footnote w:type="continuationSeparator" w:id="0">
    <w:p w14:paraId="250D11D4" w14:textId="77777777" w:rsidR="0026181F" w:rsidRDefault="0026181F" w:rsidP="001B4E81">
      <w:pPr>
        <w:spacing w:after="0" w:line="240" w:lineRule="auto"/>
      </w:pPr>
      <w:r>
        <w:continuationSeparator/>
      </w:r>
    </w:p>
  </w:footnote>
  <w:footnote w:type="continuationNotice" w:id="1">
    <w:p w14:paraId="047B6FAF" w14:textId="77777777" w:rsidR="0026181F" w:rsidRDefault="002618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806166798" name="Picture 180616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28"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32"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9269101">
    <w:abstractNumId w:val="28"/>
  </w:num>
  <w:num w:numId="2" w16cid:durableId="1787625626">
    <w:abstractNumId w:val="19"/>
  </w:num>
  <w:num w:numId="3" w16cid:durableId="1540629576">
    <w:abstractNumId w:val="13"/>
  </w:num>
  <w:num w:numId="4" w16cid:durableId="391077826">
    <w:abstractNumId w:val="15"/>
  </w:num>
  <w:num w:numId="5" w16cid:durableId="1341853404">
    <w:abstractNumId w:val="29"/>
  </w:num>
  <w:num w:numId="6" w16cid:durableId="767585139">
    <w:abstractNumId w:val="27"/>
  </w:num>
  <w:num w:numId="7" w16cid:durableId="2041667077">
    <w:abstractNumId w:val="2"/>
  </w:num>
  <w:num w:numId="8" w16cid:durableId="1515000037">
    <w:abstractNumId w:val="4"/>
  </w:num>
  <w:num w:numId="9" w16cid:durableId="872035998">
    <w:abstractNumId w:val="26"/>
  </w:num>
  <w:num w:numId="10" w16cid:durableId="1416436257">
    <w:abstractNumId w:val="2"/>
  </w:num>
  <w:num w:numId="11" w16cid:durableId="808744928">
    <w:abstractNumId w:val="6"/>
  </w:num>
  <w:num w:numId="12" w16cid:durableId="1915429240">
    <w:abstractNumId w:val="7"/>
  </w:num>
  <w:num w:numId="13" w16cid:durableId="1064135678">
    <w:abstractNumId w:val="36"/>
  </w:num>
  <w:num w:numId="14" w16cid:durableId="1438673690">
    <w:abstractNumId w:val="22"/>
  </w:num>
  <w:num w:numId="15" w16cid:durableId="13108668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0"/>
  </w:num>
  <w:num w:numId="17" w16cid:durableId="199755223">
    <w:abstractNumId w:val="17"/>
  </w:num>
  <w:num w:numId="18" w16cid:durableId="217059276">
    <w:abstractNumId w:val="9"/>
  </w:num>
  <w:num w:numId="19" w16cid:durableId="61373668">
    <w:abstractNumId w:val="8"/>
  </w:num>
  <w:num w:numId="20" w16cid:durableId="1882671202">
    <w:abstractNumId w:val="14"/>
  </w:num>
  <w:num w:numId="21" w16cid:durableId="1817532173">
    <w:abstractNumId w:val="11"/>
  </w:num>
  <w:num w:numId="22" w16cid:durableId="137655963">
    <w:abstractNumId w:val="35"/>
  </w:num>
  <w:num w:numId="23" w16cid:durableId="1401640374">
    <w:abstractNumId w:val="21"/>
  </w:num>
  <w:num w:numId="24" w16cid:durableId="1580678170">
    <w:abstractNumId w:val="34"/>
  </w:num>
  <w:num w:numId="25" w16cid:durableId="1695958751">
    <w:abstractNumId w:val="3"/>
  </w:num>
  <w:num w:numId="26" w16cid:durableId="4662469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
  </w:num>
  <w:num w:numId="28" w16cid:durableId="1404527918">
    <w:abstractNumId w:val="5"/>
  </w:num>
  <w:num w:numId="29" w16cid:durableId="1478451548">
    <w:abstractNumId w:val="24"/>
  </w:num>
  <w:num w:numId="30" w16cid:durableId="1055156669">
    <w:abstractNumId w:val="25"/>
  </w:num>
  <w:num w:numId="31" w16cid:durableId="1425298004">
    <w:abstractNumId w:val="12"/>
  </w:num>
  <w:num w:numId="32" w16cid:durableId="165443091">
    <w:abstractNumId w:val="32"/>
  </w:num>
  <w:num w:numId="33" w16cid:durableId="1729301968">
    <w:abstractNumId w:val="10"/>
  </w:num>
  <w:num w:numId="34" w16cid:durableId="1719234154">
    <w:abstractNumId w:val="16"/>
  </w:num>
  <w:num w:numId="35" w16cid:durableId="1182353712">
    <w:abstractNumId w:val="31"/>
  </w:num>
  <w:num w:numId="36" w16cid:durableId="215774871">
    <w:abstractNumId w:val="18"/>
  </w:num>
  <w:num w:numId="37" w16cid:durableId="11581096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48D1"/>
    <w:rsid w:val="0000555A"/>
    <w:rsid w:val="00005835"/>
    <w:rsid w:val="00007360"/>
    <w:rsid w:val="000076D4"/>
    <w:rsid w:val="00010C70"/>
    <w:rsid w:val="00012727"/>
    <w:rsid w:val="00013089"/>
    <w:rsid w:val="00013860"/>
    <w:rsid w:val="0001405D"/>
    <w:rsid w:val="000140F5"/>
    <w:rsid w:val="0001625E"/>
    <w:rsid w:val="000167D0"/>
    <w:rsid w:val="00016A08"/>
    <w:rsid w:val="00016A18"/>
    <w:rsid w:val="00016C94"/>
    <w:rsid w:val="000174D8"/>
    <w:rsid w:val="00020F51"/>
    <w:rsid w:val="00022882"/>
    <w:rsid w:val="000228D1"/>
    <w:rsid w:val="00022FF0"/>
    <w:rsid w:val="000230CD"/>
    <w:rsid w:val="000231F0"/>
    <w:rsid w:val="00023444"/>
    <w:rsid w:val="0002433E"/>
    <w:rsid w:val="00024D7A"/>
    <w:rsid w:val="00025717"/>
    <w:rsid w:val="00026062"/>
    <w:rsid w:val="000267A4"/>
    <w:rsid w:val="00027D7F"/>
    <w:rsid w:val="00027FFD"/>
    <w:rsid w:val="000306B5"/>
    <w:rsid w:val="00033A75"/>
    <w:rsid w:val="00034045"/>
    <w:rsid w:val="00034B8D"/>
    <w:rsid w:val="000351DD"/>
    <w:rsid w:val="00036883"/>
    <w:rsid w:val="000369C6"/>
    <w:rsid w:val="00037558"/>
    <w:rsid w:val="0004055C"/>
    <w:rsid w:val="0004453E"/>
    <w:rsid w:val="000451F4"/>
    <w:rsid w:val="0004647D"/>
    <w:rsid w:val="000525F3"/>
    <w:rsid w:val="000544FA"/>
    <w:rsid w:val="00054E0E"/>
    <w:rsid w:val="000555BD"/>
    <w:rsid w:val="000555EB"/>
    <w:rsid w:val="0005656A"/>
    <w:rsid w:val="0006102E"/>
    <w:rsid w:val="00066C02"/>
    <w:rsid w:val="00067C2A"/>
    <w:rsid w:val="00067D09"/>
    <w:rsid w:val="000713FA"/>
    <w:rsid w:val="00071773"/>
    <w:rsid w:val="00071C2D"/>
    <w:rsid w:val="00071D25"/>
    <w:rsid w:val="00072D34"/>
    <w:rsid w:val="00072ED0"/>
    <w:rsid w:val="0007398E"/>
    <w:rsid w:val="00073FBC"/>
    <w:rsid w:val="00075F17"/>
    <w:rsid w:val="00076E27"/>
    <w:rsid w:val="00080880"/>
    <w:rsid w:val="00081413"/>
    <w:rsid w:val="00081652"/>
    <w:rsid w:val="00081BFA"/>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4A05"/>
    <w:rsid w:val="000B0ADA"/>
    <w:rsid w:val="000B101E"/>
    <w:rsid w:val="000B23F1"/>
    <w:rsid w:val="000B4B0A"/>
    <w:rsid w:val="000B5578"/>
    <w:rsid w:val="000B5C60"/>
    <w:rsid w:val="000B640A"/>
    <w:rsid w:val="000B7912"/>
    <w:rsid w:val="000C045A"/>
    <w:rsid w:val="000C0EE6"/>
    <w:rsid w:val="000C1BD1"/>
    <w:rsid w:val="000C282E"/>
    <w:rsid w:val="000C2FD6"/>
    <w:rsid w:val="000C3979"/>
    <w:rsid w:val="000C4CDC"/>
    <w:rsid w:val="000D4A4C"/>
    <w:rsid w:val="000D4CCB"/>
    <w:rsid w:val="000D64D6"/>
    <w:rsid w:val="000E1906"/>
    <w:rsid w:val="000E389E"/>
    <w:rsid w:val="000E4A3E"/>
    <w:rsid w:val="000E4EBA"/>
    <w:rsid w:val="000E5E4F"/>
    <w:rsid w:val="000E6DF4"/>
    <w:rsid w:val="000E799D"/>
    <w:rsid w:val="000F0353"/>
    <w:rsid w:val="000F04EC"/>
    <w:rsid w:val="000F09E4"/>
    <w:rsid w:val="000F200D"/>
    <w:rsid w:val="000F2BE9"/>
    <w:rsid w:val="000F41F3"/>
    <w:rsid w:val="000F48CE"/>
    <w:rsid w:val="000F5568"/>
    <w:rsid w:val="001003AD"/>
    <w:rsid w:val="00100D3B"/>
    <w:rsid w:val="001028EF"/>
    <w:rsid w:val="00102F12"/>
    <w:rsid w:val="00104E1A"/>
    <w:rsid w:val="00105E1A"/>
    <w:rsid w:val="00110284"/>
    <w:rsid w:val="0011033F"/>
    <w:rsid w:val="001104FE"/>
    <w:rsid w:val="00110C7A"/>
    <w:rsid w:val="00111B5D"/>
    <w:rsid w:val="00112F94"/>
    <w:rsid w:val="00113054"/>
    <w:rsid w:val="0011367C"/>
    <w:rsid w:val="00113C51"/>
    <w:rsid w:val="001149AA"/>
    <w:rsid w:val="001149AE"/>
    <w:rsid w:val="00114E8B"/>
    <w:rsid w:val="00115AFB"/>
    <w:rsid w:val="00115F19"/>
    <w:rsid w:val="00116519"/>
    <w:rsid w:val="001176AA"/>
    <w:rsid w:val="0011791A"/>
    <w:rsid w:val="00120C00"/>
    <w:rsid w:val="00122EBE"/>
    <w:rsid w:val="00124066"/>
    <w:rsid w:val="0012701E"/>
    <w:rsid w:val="00130DF4"/>
    <w:rsid w:val="00130F5A"/>
    <w:rsid w:val="001311BD"/>
    <w:rsid w:val="00133C16"/>
    <w:rsid w:val="00135168"/>
    <w:rsid w:val="001369A8"/>
    <w:rsid w:val="00140748"/>
    <w:rsid w:val="00140889"/>
    <w:rsid w:val="00141617"/>
    <w:rsid w:val="00141888"/>
    <w:rsid w:val="001418F6"/>
    <w:rsid w:val="00142AC6"/>
    <w:rsid w:val="001435E6"/>
    <w:rsid w:val="00143BA3"/>
    <w:rsid w:val="00143E19"/>
    <w:rsid w:val="001476EC"/>
    <w:rsid w:val="00147771"/>
    <w:rsid w:val="00147E27"/>
    <w:rsid w:val="00151790"/>
    <w:rsid w:val="00154CE6"/>
    <w:rsid w:val="00155352"/>
    <w:rsid w:val="00156714"/>
    <w:rsid w:val="00156BB8"/>
    <w:rsid w:val="00156F30"/>
    <w:rsid w:val="00157E7A"/>
    <w:rsid w:val="00161507"/>
    <w:rsid w:val="001619DB"/>
    <w:rsid w:val="00161E55"/>
    <w:rsid w:val="001621A5"/>
    <w:rsid w:val="00162E71"/>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1E3"/>
    <w:rsid w:val="00177616"/>
    <w:rsid w:val="00177735"/>
    <w:rsid w:val="00177EAB"/>
    <w:rsid w:val="001813EA"/>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30B"/>
    <w:rsid w:val="001A7E3C"/>
    <w:rsid w:val="001B17A2"/>
    <w:rsid w:val="001B21B8"/>
    <w:rsid w:val="001B25FF"/>
    <w:rsid w:val="001B4E81"/>
    <w:rsid w:val="001B54AA"/>
    <w:rsid w:val="001B5732"/>
    <w:rsid w:val="001B6600"/>
    <w:rsid w:val="001C01B0"/>
    <w:rsid w:val="001C1DE2"/>
    <w:rsid w:val="001C2AA4"/>
    <w:rsid w:val="001C595F"/>
    <w:rsid w:val="001D28C7"/>
    <w:rsid w:val="001D2C25"/>
    <w:rsid w:val="001D6B4F"/>
    <w:rsid w:val="001D6F34"/>
    <w:rsid w:val="001E2D99"/>
    <w:rsid w:val="001E3845"/>
    <w:rsid w:val="001E3C51"/>
    <w:rsid w:val="001E591B"/>
    <w:rsid w:val="001E764F"/>
    <w:rsid w:val="001F424B"/>
    <w:rsid w:val="001F50DA"/>
    <w:rsid w:val="001F5C20"/>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42C"/>
    <w:rsid w:val="00232556"/>
    <w:rsid w:val="00233D28"/>
    <w:rsid w:val="00234234"/>
    <w:rsid w:val="002346B1"/>
    <w:rsid w:val="0023649C"/>
    <w:rsid w:val="00236873"/>
    <w:rsid w:val="00237B73"/>
    <w:rsid w:val="00242128"/>
    <w:rsid w:val="00243AE7"/>
    <w:rsid w:val="002448D3"/>
    <w:rsid w:val="00244E6F"/>
    <w:rsid w:val="0024557E"/>
    <w:rsid w:val="002456D2"/>
    <w:rsid w:val="002464BC"/>
    <w:rsid w:val="00246F06"/>
    <w:rsid w:val="00247056"/>
    <w:rsid w:val="00247C64"/>
    <w:rsid w:val="0025093F"/>
    <w:rsid w:val="00251063"/>
    <w:rsid w:val="00252531"/>
    <w:rsid w:val="00252B77"/>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761C"/>
    <w:rsid w:val="00267854"/>
    <w:rsid w:val="0027009C"/>
    <w:rsid w:val="0027171A"/>
    <w:rsid w:val="00272881"/>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318A"/>
    <w:rsid w:val="002D3853"/>
    <w:rsid w:val="002D7184"/>
    <w:rsid w:val="002D7970"/>
    <w:rsid w:val="002E129F"/>
    <w:rsid w:val="002E22EF"/>
    <w:rsid w:val="002E549A"/>
    <w:rsid w:val="002E5CC1"/>
    <w:rsid w:val="002E75A0"/>
    <w:rsid w:val="002E78B0"/>
    <w:rsid w:val="002F00B9"/>
    <w:rsid w:val="002F08D2"/>
    <w:rsid w:val="002F0A2B"/>
    <w:rsid w:val="002F0AED"/>
    <w:rsid w:val="002F1B79"/>
    <w:rsid w:val="002F4C80"/>
    <w:rsid w:val="002F4E06"/>
    <w:rsid w:val="002F5431"/>
    <w:rsid w:val="002F55AF"/>
    <w:rsid w:val="003003A3"/>
    <w:rsid w:val="00302980"/>
    <w:rsid w:val="00304440"/>
    <w:rsid w:val="00304730"/>
    <w:rsid w:val="00304803"/>
    <w:rsid w:val="003054D3"/>
    <w:rsid w:val="00305857"/>
    <w:rsid w:val="0030596B"/>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4058"/>
    <w:rsid w:val="00334539"/>
    <w:rsid w:val="00334602"/>
    <w:rsid w:val="00334C7E"/>
    <w:rsid w:val="00335E87"/>
    <w:rsid w:val="00344639"/>
    <w:rsid w:val="00344EFD"/>
    <w:rsid w:val="0034616B"/>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27EA"/>
    <w:rsid w:val="003F310C"/>
    <w:rsid w:val="003F380E"/>
    <w:rsid w:val="003F3B49"/>
    <w:rsid w:val="003F5E55"/>
    <w:rsid w:val="0040054B"/>
    <w:rsid w:val="004010A3"/>
    <w:rsid w:val="004020FA"/>
    <w:rsid w:val="004033B5"/>
    <w:rsid w:val="0040427A"/>
    <w:rsid w:val="004047E9"/>
    <w:rsid w:val="00404ECE"/>
    <w:rsid w:val="0040629D"/>
    <w:rsid w:val="00406312"/>
    <w:rsid w:val="00406F92"/>
    <w:rsid w:val="004103BE"/>
    <w:rsid w:val="0041106B"/>
    <w:rsid w:val="00411080"/>
    <w:rsid w:val="00411928"/>
    <w:rsid w:val="00412227"/>
    <w:rsid w:val="004139F3"/>
    <w:rsid w:val="0041458D"/>
    <w:rsid w:val="00416205"/>
    <w:rsid w:val="00417BB8"/>
    <w:rsid w:val="00420D2D"/>
    <w:rsid w:val="0042258A"/>
    <w:rsid w:val="0042361F"/>
    <w:rsid w:val="004239B4"/>
    <w:rsid w:val="00423ADB"/>
    <w:rsid w:val="00423C6C"/>
    <w:rsid w:val="00424321"/>
    <w:rsid w:val="00424708"/>
    <w:rsid w:val="00426056"/>
    <w:rsid w:val="00430412"/>
    <w:rsid w:val="004308BD"/>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C13"/>
    <w:rsid w:val="00446FAD"/>
    <w:rsid w:val="004514DD"/>
    <w:rsid w:val="00451DA0"/>
    <w:rsid w:val="00452234"/>
    <w:rsid w:val="00453D8F"/>
    <w:rsid w:val="00456635"/>
    <w:rsid w:val="00457EBD"/>
    <w:rsid w:val="00457F76"/>
    <w:rsid w:val="00461997"/>
    <w:rsid w:val="0046223B"/>
    <w:rsid w:val="0046239E"/>
    <w:rsid w:val="004629F6"/>
    <w:rsid w:val="00463B1E"/>
    <w:rsid w:val="00464A61"/>
    <w:rsid w:val="004665BC"/>
    <w:rsid w:val="00466A19"/>
    <w:rsid w:val="00471CFB"/>
    <w:rsid w:val="0047362B"/>
    <w:rsid w:val="004739EB"/>
    <w:rsid w:val="0047507E"/>
    <w:rsid w:val="0047665D"/>
    <w:rsid w:val="004804E7"/>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A0B3C"/>
    <w:rsid w:val="004A158C"/>
    <w:rsid w:val="004A1D1C"/>
    <w:rsid w:val="004A266E"/>
    <w:rsid w:val="004A38A7"/>
    <w:rsid w:val="004A3DB0"/>
    <w:rsid w:val="004A4B34"/>
    <w:rsid w:val="004A4F95"/>
    <w:rsid w:val="004A5BA5"/>
    <w:rsid w:val="004A5C73"/>
    <w:rsid w:val="004B0AAD"/>
    <w:rsid w:val="004B22D6"/>
    <w:rsid w:val="004B30AC"/>
    <w:rsid w:val="004B3291"/>
    <w:rsid w:val="004B39E2"/>
    <w:rsid w:val="004B4E63"/>
    <w:rsid w:val="004B52A0"/>
    <w:rsid w:val="004B5D50"/>
    <w:rsid w:val="004B6C2E"/>
    <w:rsid w:val="004B6E4C"/>
    <w:rsid w:val="004B71E1"/>
    <w:rsid w:val="004B747F"/>
    <w:rsid w:val="004B7A7F"/>
    <w:rsid w:val="004B7B94"/>
    <w:rsid w:val="004C1A44"/>
    <w:rsid w:val="004C1A51"/>
    <w:rsid w:val="004C1C98"/>
    <w:rsid w:val="004C2B7F"/>
    <w:rsid w:val="004C57E7"/>
    <w:rsid w:val="004C5802"/>
    <w:rsid w:val="004C676B"/>
    <w:rsid w:val="004C6C4D"/>
    <w:rsid w:val="004C7A99"/>
    <w:rsid w:val="004D00D5"/>
    <w:rsid w:val="004D3CB2"/>
    <w:rsid w:val="004D6BB0"/>
    <w:rsid w:val="004E1665"/>
    <w:rsid w:val="004E2461"/>
    <w:rsid w:val="004E4B6C"/>
    <w:rsid w:val="004E5966"/>
    <w:rsid w:val="004E72B2"/>
    <w:rsid w:val="004F07C6"/>
    <w:rsid w:val="004F0F70"/>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5ED1"/>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778D"/>
    <w:rsid w:val="00550894"/>
    <w:rsid w:val="00551462"/>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BF7"/>
    <w:rsid w:val="005670C2"/>
    <w:rsid w:val="0056755E"/>
    <w:rsid w:val="00570413"/>
    <w:rsid w:val="005706F5"/>
    <w:rsid w:val="005707BC"/>
    <w:rsid w:val="0057454D"/>
    <w:rsid w:val="00574F1B"/>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6159"/>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206"/>
    <w:rsid w:val="00612E52"/>
    <w:rsid w:val="00613760"/>
    <w:rsid w:val="00616A8C"/>
    <w:rsid w:val="0061786B"/>
    <w:rsid w:val="0061786F"/>
    <w:rsid w:val="00617AAD"/>
    <w:rsid w:val="00620DF2"/>
    <w:rsid w:val="0062196D"/>
    <w:rsid w:val="00621C2D"/>
    <w:rsid w:val="00622096"/>
    <w:rsid w:val="00622E72"/>
    <w:rsid w:val="00625841"/>
    <w:rsid w:val="0062679C"/>
    <w:rsid w:val="00626E89"/>
    <w:rsid w:val="00630745"/>
    <w:rsid w:val="00630B35"/>
    <w:rsid w:val="006324DA"/>
    <w:rsid w:val="00633CD1"/>
    <w:rsid w:val="006348FE"/>
    <w:rsid w:val="00634E7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707B"/>
    <w:rsid w:val="006577F0"/>
    <w:rsid w:val="00660087"/>
    <w:rsid w:val="00660BA8"/>
    <w:rsid w:val="006665F8"/>
    <w:rsid w:val="0066695C"/>
    <w:rsid w:val="006671AC"/>
    <w:rsid w:val="00670413"/>
    <w:rsid w:val="00670A0D"/>
    <w:rsid w:val="00671768"/>
    <w:rsid w:val="00673314"/>
    <w:rsid w:val="00673D0E"/>
    <w:rsid w:val="006764DF"/>
    <w:rsid w:val="006765B8"/>
    <w:rsid w:val="006819C4"/>
    <w:rsid w:val="00681DB7"/>
    <w:rsid w:val="00681DC9"/>
    <w:rsid w:val="00683666"/>
    <w:rsid w:val="00684D69"/>
    <w:rsid w:val="006867ED"/>
    <w:rsid w:val="00686F2E"/>
    <w:rsid w:val="0068787E"/>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C4B"/>
    <w:rsid w:val="006A76EE"/>
    <w:rsid w:val="006A77FC"/>
    <w:rsid w:val="006B1303"/>
    <w:rsid w:val="006B14CC"/>
    <w:rsid w:val="006B2619"/>
    <w:rsid w:val="006B335C"/>
    <w:rsid w:val="006B6D81"/>
    <w:rsid w:val="006C0EA9"/>
    <w:rsid w:val="006C1293"/>
    <w:rsid w:val="006C2C80"/>
    <w:rsid w:val="006C321E"/>
    <w:rsid w:val="006C4FD6"/>
    <w:rsid w:val="006C6529"/>
    <w:rsid w:val="006C659B"/>
    <w:rsid w:val="006C6B49"/>
    <w:rsid w:val="006C70C7"/>
    <w:rsid w:val="006C7A19"/>
    <w:rsid w:val="006D030D"/>
    <w:rsid w:val="006D0B43"/>
    <w:rsid w:val="006D1EAD"/>
    <w:rsid w:val="006D4952"/>
    <w:rsid w:val="006D4E3F"/>
    <w:rsid w:val="006D5F1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0D9B"/>
    <w:rsid w:val="00701E76"/>
    <w:rsid w:val="007045DA"/>
    <w:rsid w:val="007049EA"/>
    <w:rsid w:val="007076DE"/>
    <w:rsid w:val="00707D70"/>
    <w:rsid w:val="00710F4B"/>
    <w:rsid w:val="00716D4C"/>
    <w:rsid w:val="00716F47"/>
    <w:rsid w:val="007176F8"/>
    <w:rsid w:val="0072105C"/>
    <w:rsid w:val="00721466"/>
    <w:rsid w:val="007241A2"/>
    <w:rsid w:val="00724832"/>
    <w:rsid w:val="00724A05"/>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3EC1"/>
    <w:rsid w:val="007641D2"/>
    <w:rsid w:val="0076424A"/>
    <w:rsid w:val="00765804"/>
    <w:rsid w:val="00766186"/>
    <w:rsid w:val="00766750"/>
    <w:rsid w:val="007677EF"/>
    <w:rsid w:val="007708D5"/>
    <w:rsid w:val="0077187F"/>
    <w:rsid w:val="00772485"/>
    <w:rsid w:val="007734CC"/>
    <w:rsid w:val="007737EE"/>
    <w:rsid w:val="007753FC"/>
    <w:rsid w:val="00777371"/>
    <w:rsid w:val="00777DB1"/>
    <w:rsid w:val="0078012A"/>
    <w:rsid w:val="00780A4F"/>
    <w:rsid w:val="00780D26"/>
    <w:rsid w:val="0078159D"/>
    <w:rsid w:val="00785F5E"/>
    <w:rsid w:val="007866E3"/>
    <w:rsid w:val="00786743"/>
    <w:rsid w:val="00786C5B"/>
    <w:rsid w:val="00787AC8"/>
    <w:rsid w:val="007906F8"/>
    <w:rsid w:val="00791BE6"/>
    <w:rsid w:val="007927A7"/>
    <w:rsid w:val="007935EE"/>
    <w:rsid w:val="00795CD6"/>
    <w:rsid w:val="007A08C6"/>
    <w:rsid w:val="007A2B95"/>
    <w:rsid w:val="007A3AC3"/>
    <w:rsid w:val="007A3B0B"/>
    <w:rsid w:val="007A3DA1"/>
    <w:rsid w:val="007A489B"/>
    <w:rsid w:val="007A54C6"/>
    <w:rsid w:val="007A57AD"/>
    <w:rsid w:val="007A5AE9"/>
    <w:rsid w:val="007A62F9"/>
    <w:rsid w:val="007A70F0"/>
    <w:rsid w:val="007B0B62"/>
    <w:rsid w:val="007B13FF"/>
    <w:rsid w:val="007B1647"/>
    <w:rsid w:val="007B214F"/>
    <w:rsid w:val="007B2EE3"/>
    <w:rsid w:val="007B36BE"/>
    <w:rsid w:val="007B4298"/>
    <w:rsid w:val="007B439F"/>
    <w:rsid w:val="007B44E6"/>
    <w:rsid w:val="007B4F21"/>
    <w:rsid w:val="007B5759"/>
    <w:rsid w:val="007B680F"/>
    <w:rsid w:val="007C1CC2"/>
    <w:rsid w:val="007C2CD5"/>
    <w:rsid w:val="007C6047"/>
    <w:rsid w:val="007C6748"/>
    <w:rsid w:val="007D3DA3"/>
    <w:rsid w:val="007D5CCE"/>
    <w:rsid w:val="007D7D9E"/>
    <w:rsid w:val="007E11AC"/>
    <w:rsid w:val="007E2041"/>
    <w:rsid w:val="007E2060"/>
    <w:rsid w:val="007E384A"/>
    <w:rsid w:val="007E3A3E"/>
    <w:rsid w:val="007E4FDC"/>
    <w:rsid w:val="007E79D7"/>
    <w:rsid w:val="007F2532"/>
    <w:rsid w:val="007F58DE"/>
    <w:rsid w:val="007F5F4E"/>
    <w:rsid w:val="007F6BB4"/>
    <w:rsid w:val="008009C2"/>
    <w:rsid w:val="00800D60"/>
    <w:rsid w:val="00802D5C"/>
    <w:rsid w:val="00806329"/>
    <w:rsid w:val="00811AA3"/>
    <w:rsid w:val="00813BAE"/>
    <w:rsid w:val="00814EBE"/>
    <w:rsid w:val="00815122"/>
    <w:rsid w:val="0081578E"/>
    <w:rsid w:val="00816314"/>
    <w:rsid w:val="00816E1F"/>
    <w:rsid w:val="008173EA"/>
    <w:rsid w:val="008178BA"/>
    <w:rsid w:val="00817CE4"/>
    <w:rsid w:val="00817D35"/>
    <w:rsid w:val="00820294"/>
    <w:rsid w:val="00821192"/>
    <w:rsid w:val="00821BAC"/>
    <w:rsid w:val="0082494A"/>
    <w:rsid w:val="00824B73"/>
    <w:rsid w:val="008255A8"/>
    <w:rsid w:val="00826BB3"/>
    <w:rsid w:val="00827506"/>
    <w:rsid w:val="00830768"/>
    <w:rsid w:val="00830E84"/>
    <w:rsid w:val="008326C5"/>
    <w:rsid w:val="00832814"/>
    <w:rsid w:val="00833156"/>
    <w:rsid w:val="0083487B"/>
    <w:rsid w:val="00834E45"/>
    <w:rsid w:val="0083523A"/>
    <w:rsid w:val="00836757"/>
    <w:rsid w:val="00840E4C"/>
    <w:rsid w:val="00842017"/>
    <w:rsid w:val="00843E52"/>
    <w:rsid w:val="00844711"/>
    <w:rsid w:val="00844C50"/>
    <w:rsid w:val="0084596C"/>
    <w:rsid w:val="00845AF5"/>
    <w:rsid w:val="0084797C"/>
    <w:rsid w:val="00847A84"/>
    <w:rsid w:val="00847B5F"/>
    <w:rsid w:val="00850227"/>
    <w:rsid w:val="008503A0"/>
    <w:rsid w:val="00854644"/>
    <w:rsid w:val="00855C0A"/>
    <w:rsid w:val="00856C64"/>
    <w:rsid w:val="0086185C"/>
    <w:rsid w:val="00861B5E"/>
    <w:rsid w:val="00862B67"/>
    <w:rsid w:val="00863461"/>
    <w:rsid w:val="00863E94"/>
    <w:rsid w:val="00864E7C"/>
    <w:rsid w:val="00864EE9"/>
    <w:rsid w:val="0086562F"/>
    <w:rsid w:val="0086642B"/>
    <w:rsid w:val="00867E3E"/>
    <w:rsid w:val="00867F99"/>
    <w:rsid w:val="00872D39"/>
    <w:rsid w:val="00873E6D"/>
    <w:rsid w:val="0087420B"/>
    <w:rsid w:val="00874FBF"/>
    <w:rsid w:val="008753E8"/>
    <w:rsid w:val="00875A27"/>
    <w:rsid w:val="0087745C"/>
    <w:rsid w:val="00880DCC"/>
    <w:rsid w:val="00881398"/>
    <w:rsid w:val="008850A1"/>
    <w:rsid w:val="008855B8"/>
    <w:rsid w:val="008901C7"/>
    <w:rsid w:val="00890D95"/>
    <w:rsid w:val="008948BC"/>
    <w:rsid w:val="008952E6"/>
    <w:rsid w:val="00896343"/>
    <w:rsid w:val="008968A4"/>
    <w:rsid w:val="00896D3D"/>
    <w:rsid w:val="008A02F6"/>
    <w:rsid w:val="008A1B56"/>
    <w:rsid w:val="008A3E29"/>
    <w:rsid w:val="008A5B81"/>
    <w:rsid w:val="008A5BBD"/>
    <w:rsid w:val="008A6ACF"/>
    <w:rsid w:val="008A6C3C"/>
    <w:rsid w:val="008A6D8E"/>
    <w:rsid w:val="008B1891"/>
    <w:rsid w:val="008B2543"/>
    <w:rsid w:val="008B2BEB"/>
    <w:rsid w:val="008B2CD4"/>
    <w:rsid w:val="008B3B03"/>
    <w:rsid w:val="008B4886"/>
    <w:rsid w:val="008B579F"/>
    <w:rsid w:val="008B5C14"/>
    <w:rsid w:val="008B65B9"/>
    <w:rsid w:val="008B76B1"/>
    <w:rsid w:val="008C27E9"/>
    <w:rsid w:val="008C4098"/>
    <w:rsid w:val="008C4B86"/>
    <w:rsid w:val="008C4D7E"/>
    <w:rsid w:val="008C52A5"/>
    <w:rsid w:val="008C56EA"/>
    <w:rsid w:val="008C5E21"/>
    <w:rsid w:val="008C67A8"/>
    <w:rsid w:val="008C6B95"/>
    <w:rsid w:val="008C6E59"/>
    <w:rsid w:val="008C71CC"/>
    <w:rsid w:val="008C7A8C"/>
    <w:rsid w:val="008D0015"/>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665D"/>
    <w:rsid w:val="00906A69"/>
    <w:rsid w:val="00906DEC"/>
    <w:rsid w:val="0090782C"/>
    <w:rsid w:val="00910B3B"/>
    <w:rsid w:val="00910D11"/>
    <w:rsid w:val="00910FAB"/>
    <w:rsid w:val="00911739"/>
    <w:rsid w:val="00911AF7"/>
    <w:rsid w:val="00914D10"/>
    <w:rsid w:val="00915281"/>
    <w:rsid w:val="009154C1"/>
    <w:rsid w:val="00915CF6"/>
    <w:rsid w:val="00916B6A"/>
    <w:rsid w:val="00916C26"/>
    <w:rsid w:val="009172AA"/>
    <w:rsid w:val="009202DD"/>
    <w:rsid w:val="00920C67"/>
    <w:rsid w:val="00921AF5"/>
    <w:rsid w:val="0092213E"/>
    <w:rsid w:val="00930150"/>
    <w:rsid w:val="009309D6"/>
    <w:rsid w:val="00930E9D"/>
    <w:rsid w:val="0093140E"/>
    <w:rsid w:val="00932921"/>
    <w:rsid w:val="00932DA5"/>
    <w:rsid w:val="00933287"/>
    <w:rsid w:val="00935CE8"/>
    <w:rsid w:val="00941DD4"/>
    <w:rsid w:val="00943475"/>
    <w:rsid w:val="0094391F"/>
    <w:rsid w:val="00943AF0"/>
    <w:rsid w:val="00944E3D"/>
    <w:rsid w:val="0094670E"/>
    <w:rsid w:val="00951526"/>
    <w:rsid w:val="009515E6"/>
    <w:rsid w:val="00951847"/>
    <w:rsid w:val="00952D3D"/>
    <w:rsid w:val="00953ACF"/>
    <w:rsid w:val="00954283"/>
    <w:rsid w:val="00954559"/>
    <w:rsid w:val="00954B54"/>
    <w:rsid w:val="00954D63"/>
    <w:rsid w:val="0095559C"/>
    <w:rsid w:val="009564A0"/>
    <w:rsid w:val="009564E3"/>
    <w:rsid w:val="00956B5A"/>
    <w:rsid w:val="00956FAE"/>
    <w:rsid w:val="00960FE0"/>
    <w:rsid w:val="009625A3"/>
    <w:rsid w:val="00962BBA"/>
    <w:rsid w:val="00962BD5"/>
    <w:rsid w:val="00962E30"/>
    <w:rsid w:val="009631B9"/>
    <w:rsid w:val="009645C3"/>
    <w:rsid w:val="00964AB5"/>
    <w:rsid w:val="0096509F"/>
    <w:rsid w:val="00965B0B"/>
    <w:rsid w:val="00966AF5"/>
    <w:rsid w:val="009670F5"/>
    <w:rsid w:val="00967913"/>
    <w:rsid w:val="00971862"/>
    <w:rsid w:val="0097258B"/>
    <w:rsid w:val="0097290E"/>
    <w:rsid w:val="00973534"/>
    <w:rsid w:val="00976493"/>
    <w:rsid w:val="0097782A"/>
    <w:rsid w:val="00977BDA"/>
    <w:rsid w:val="00977C79"/>
    <w:rsid w:val="00980236"/>
    <w:rsid w:val="0098142C"/>
    <w:rsid w:val="009814EE"/>
    <w:rsid w:val="00981A06"/>
    <w:rsid w:val="00982821"/>
    <w:rsid w:val="0098382C"/>
    <w:rsid w:val="0098389F"/>
    <w:rsid w:val="009848B1"/>
    <w:rsid w:val="00985B82"/>
    <w:rsid w:val="009865B5"/>
    <w:rsid w:val="0098663E"/>
    <w:rsid w:val="00987197"/>
    <w:rsid w:val="0099231D"/>
    <w:rsid w:val="00992B5D"/>
    <w:rsid w:val="0099464B"/>
    <w:rsid w:val="00996DE5"/>
    <w:rsid w:val="009975F3"/>
    <w:rsid w:val="009A263C"/>
    <w:rsid w:val="009A2A48"/>
    <w:rsid w:val="009A44E3"/>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4658"/>
    <w:rsid w:val="009E4766"/>
    <w:rsid w:val="009E5504"/>
    <w:rsid w:val="009E5772"/>
    <w:rsid w:val="009E639E"/>
    <w:rsid w:val="009E6DEA"/>
    <w:rsid w:val="009E73B2"/>
    <w:rsid w:val="009F0C85"/>
    <w:rsid w:val="009F1536"/>
    <w:rsid w:val="009F269C"/>
    <w:rsid w:val="009F2A7F"/>
    <w:rsid w:val="009F2C17"/>
    <w:rsid w:val="009F2F03"/>
    <w:rsid w:val="009F45EC"/>
    <w:rsid w:val="009F5FE6"/>
    <w:rsid w:val="009F695D"/>
    <w:rsid w:val="009F7179"/>
    <w:rsid w:val="00A01E19"/>
    <w:rsid w:val="00A02B18"/>
    <w:rsid w:val="00A05554"/>
    <w:rsid w:val="00A05EC8"/>
    <w:rsid w:val="00A0616A"/>
    <w:rsid w:val="00A10AB8"/>
    <w:rsid w:val="00A10CAF"/>
    <w:rsid w:val="00A115D5"/>
    <w:rsid w:val="00A11EE5"/>
    <w:rsid w:val="00A1323C"/>
    <w:rsid w:val="00A135E2"/>
    <w:rsid w:val="00A158C3"/>
    <w:rsid w:val="00A15C17"/>
    <w:rsid w:val="00A15E09"/>
    <w:rsid w:val="00A1696C"/>
    <w:rsid w:val="00A17351"/>
    <w:rsid w:val="00A178F6"/>
    <w:rsid w:val="00A2083C"/>
    <w:rsid w:val="00A215AA"/>
    <w:rsid w:val="00A228B2"/>
    <w:rsid w:val="00A237DA"/>
    <w:rsid w:val="00A248E5"/>
    <w:rsid w:val="00A249E4"/>
    <w:rsid w:val="00A251A7"/>
    <w:rsid w:val="00A260C7"/>
    <w:rsid w:val="00A264A9"/>
    <w:rsid w:val="00A32CD9"/>
    <w:rsid w:val="00A3796E"/>
    <w:rsid w:val="00A40293"/>
    <w:rsid w:val="00A40329"/>
    <w:rsid w:val="00A41442"/>
    <w:rsid w:val="00A43FF3"/>
    <w:rsid w:val="00A44E77"/>
    <w:rsid w:val="00A45367"/>
    <w:rsid w:val="00A46F36"/>
    <w:rsid w:val="00A47F64"/>
    <w:rsid w:val="00A51627"/>
    <w:rsid w:val="00A532B6"/>
    <w:rsid w:val="00A5431C"/>
    <w:rsid w:val="00A549AD"/>
    <w:rsid w:val="00A552F2"/>
    <w:rsid w:val="00A55605"/>
    <w:rsid w:val="00A557C3"/>
    <w:rsid w:val="00A56238"/>
    <w:rsid w:val="00A567A2"/>
    <w:rsid w:val="00A575A5"/>
    <w:rsid w:val="00A60695"/>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288B"/>
    <w:rsid w:val="00A83E3C"/>
    <w:rsid w:val="00A861AB"/>
    <w:rsid w:val="00A868B6"/>
    <w:rsid w:val="00A86D5F"/>
    <w:rsid w:val="00A86E49"/>
    <w:rsid w:val="00A8746B"/>
    <w:rsid w:val="00A87A75"/>
    <w:rsid w:val="00A91A3A"/>
    <w:rsid w:val="00A9200C"/>
    <w:rsid w:val="00A93103"/>
    <w:rsid w:val="00A93EA8"/>
    <w:rsid w:val="00A94527"/>
    <w:rsid w:val="00A94E52"/>
    <w:rsid w:val="00A96BB0"/>
    <w:rsid w:val="00AA038A"/>
    <w:rsid w:val="00AA08C9"/>
    <w:rsid w:val="00AA0DA2"/>
    <w:rsid w:val="00AA102C"/>
    <w:rsid w:val="00AA2683"/>
    <w:rsid w:val="00AA3113"/>
    <w:rsid w:val="00AA4406"/>
    <w:rsid w:val="00AA5E63"/>
    <w:rsid w:val="00AA61A8"/>
    <w:rsid w:val="00AA6BFD"/>
    <w:rsid w:val="00AA7F14"/>
    <w:rsid w:val="00AB0EE3"/>
    <w:rsid w:val="00AB259C"/>
    <w:rsid w:val="00AB3A0B"/>
    <w:rsid w:val="00AB4FCA"/>
    <w:rsid w:val="00AB5987"/>
    <w:rsid w:val="00AB6C6E"/>
    <w:rsid w:val="00AB6FDE"/>
    <w:rsid w:val="00AB7EAF"/>
    <w:rsid w:val="00AC1033"/>
    <w:rsid w:val="00AC289B"/>
    <w:rsid w:val="00AC5E6E"/>
    <w:rsid w:val="00AD029C"/>
    <w:rsid w:val="00AD0BDF"/>
    <w:rsid w:val="00AD0E2F"/>
    <w:rsid w:val="00AD20FF"/>
    <w:rsid w:val="00AD2792"/>
    <w:rsid w:val="00AD4383"/>
    <w:rsid w:val="00AD5DC0"/>
    <w:rsid w:val="00AD6F84"/>
    <w:rsid w:val="00AD7CB3"/>
    <w:rsid w:val="00AD7D20"/>
    <w:rsid w:val="00AE133F"/>
    <w:rsid w:val="00AE5D82"/>
    <w:rsid w:val="00AE6025"/>
    <w:rsid w:val="00AF0B1C"/>
    <w:rsid w:val="00AF0E48"/>
    <w:rsid w:val="00AF15E8"/>
    <w:rsid w:val="00AF1B50"/>
    <w:rsid w:val="00AF602A"/>
    <w:rsid w:val="00AF6DEB"/>
    <w:rsid w:val="00AF76CF"/>
    <w:rsid w:val="00AF7E42"/>
    <w:rsid w:val="00B001F7"/>
    <w:rsid w:val="00B00E25"/>
    <w:rsid w:val="00B0249C"/>
    <w:rsid w:val="00B029B6"/>
    <w:rsid w:val="00B033FA"/>
    <w:rsid w:val="00B06677"/>
    <w:rsid w:val="00B12D80"/>
    <w:rsid w:val="00B156DE"/>
    <w:rsid w:val="00B168E9"/>
    <w:rsid w:val="00B16B3B"/>
    <w:rsid w:val="00B17672"/>
    <w:rsid w:val="00B17A69"/>
    <w:rsid w:val="00B2259A"/>
    <w:rsid w:val="00B2373C"/>
    <w:rsid w:val="00B239CD"/>
    <w:rsid w:val="00B23ACD"/>
    <w:rsid w:val="00B247EC"/>
    <w:rsid w:val="00B24CAE"/>
    <w:rsid w:val="00B265A3"/>
    <w:rsid w:val="00B2748D"/>
    <w:rsid w:val="00B30428"/>
    <w:rsid w:val="00B3064E"/>
    <w:rsid w:val="00B3122D"/>
    <w:rsid w:val="00B31C93"/>
    <w:rsid w:val="00B34104"/>
    <w:rsid w:val="00B3590D"/>
    <w:rsid w:val="00B35C57"/>
    <w:rsid w:val="00B40361"/>
    <w:rsid w:val="00B410D3"/>
    <w:rsid w:val="00B414DB"/>
    <w:rsid w:val="00B420F3"/>
    <w:rsid w:val="00B4466D"/>
    <w:rsid w:val="00B449A3"/>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19A"/>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A0970"/>
    <w:rsid w:val="00BA0AB5"/>
    <w:rsid w:val="00BA0DC5"/>
    <w:rsid w:val="00BA1C3B"/>
    <w:rsid w:val="00BA1E36"/>
    <w:rsid w:val="00BA1F0B"/>
    <w:rsid w:val="00BA2A5A"/>
    <w:rsid w:val="00BA329A"/>
    <w:rsid w:val="00BA358C"/>
    <w:rsid w:val="00BA4459"/>
    <w:rsid w:val="00BA7CB9"/>
    <w:rsid w:val="00BB00E1"/>
    <w:rsid w:val="00BB2017"/>
    <w:rsid w:val="00BB24D0"/>
    <w:rsid w:val="00BB4605"/>
    <w:rsid w:val="00BB5074"/>
    <w:rsid w:val="00BC0078"/>
    <w:rsid w:val="00BC076E"/>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D7FE0"/>
    <w:rsid w:val="00BE1F53"/>
    <w:rsid w:val="00BE3313"/>
    <w:rsid w:val="00BE59FB"/>
    <w:rsid w:val="00BE6923"/>
    <w:rsid w:val="00BF0A60"/>
    <w:rsid w:val="00BF1EDA"/>
    <w:rsid w:val="00BF2884"/>
    <w:rsid w:val="00BF2F77"/>
    <w:rsid w:val="00BF39DA"/>
    <w:rsid w:val="00BF3B7A"/>
    <w:rsid w:val="00BF48CE"/>
    <w:rsid w:val="00BF52F0"/>
    <w:rsid w:val="00BF587C"/>
    <w:rsid w:val="00BF6AB5"/>
    <w:rsid w:val="00BF7B3F"/>
    <w:rsid w:val="00C01174"/>
    <w:rsid w:val="00C02994"/>
    <w:rsid w:val="00C03E18"/>
    <w:rsid w:val="00C042B5"/>
    <w:rsid w:val="00C0611F"/>
    <w:rsid w:val="00C0648A"/>
    <w:rsid w:val="00C06681"/>
    <w:rsid w:val="00C071CD"/>
    <w:rsid w:val="00C075F3"/>
    <w:rsid w:val="00C11C58"/>
    <w:rsid w:val="00C145E4"/>
    <w:rsid w:val="00C14B60"/>
    <w:rsid w:val="00C15605"/>
    <w:rsid w:val="00C2043D"/>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5A32"/>
    <w:rsid w:val="00C46181"/>
    <w:rsid w:val="00C5078C"/>
    <w:rsid w:val="00C5152D"/>
    <w:rsid w:val="00C51D81"/>
    <w:rsid w:val="00C53370"/>
    <w:rsid w:val="00C54813"/>
    <w:rsid w:val="00C55995"/>
    <w:rsid w:val="00C57C4D"/>
    <w:rsid w:val="00C57E2C"/>
    <w:rsid w:val="00C60307"/>
    <w:rsid w:val="00C6059B"/>
    <w:rsid w:val="00C61D79"/>
    <w:rsid w:val="00C61D91"/>
    <w:rsid w:val="00C6230E"/>
    <w:rsid w:val="00C62E53"/>
    <w:rsid w:val="00C63005"/>
    <w:rsid w:val="00C64193"/>
    <w:rsid w:val="00C663C6"/>
    <w:rsid w:val="00C66B60"/>
    <w:rsid w:val="00C67FF1"/>
    <w:rsid w:val="00C701CD"/>
    <w:rsid w:val="00C705B0"/>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63E2"/>
    <w:rsid w:val="00C865B0"/>
    <w:rsid w:val="00C8710A"/>
    <w:rsid w:val="00C902BD"/>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6DAD"/>
    <w:rsid w:val="00CB704E"/>
    <w:rsid w:val="00CC03DB"/>
    <w:rsid w:val="00CC1715"/>
    <w:rsid w:val="00CC1F81"/>
    <w:rsid w:val="00CC2147"/>
    <w:rsid w:val="00CC228B"/>
    <w:rsid w:val="00CC3315"/>
    <w:rsid w:val="00CC3D82"/>
    <w:rsid w:val="00CC47BA"/>
    <w:rsid w:val="00CC5288"/>
    <w:rsid w:val="00CC54EF"/>
    <w:rsid w:val="00CD14A5"/>
    <w:rsid w:val="00CD1AFA"/>
    <w:rsid w:val="00CD23CC"/>
    <w:rsid w:val="00CD264B"/>
    <w:rsid w:val="00CD28AF"/>
    <w:rsid w:val="00CD2FBF"/>
    <w:rsid w:val="00CD54CF"/>
    <w:rsid w:val="00CD6D03"/>
    <w:rsid w:val="00CE0F96"/>
    <w:rsid w:val="00CE19C6"/>
    <w:rsid w:val="00CE2FAA"/>
    <w:rsid w:val="00CE3397"/>
    <w:rsid w:val="00CE3D09"/>
    <w:rsid w:val="00CE4530"/>
    <w:rsid w:val="00CE4B47"/>
    <w:rsid w:val="00CE5DB2"/>
    <w:rsid w:val="00CE7686"/>
    <w:rsid w:val="00CF0635"/>
    <w:rsid w:val="00CF1A58"/>
    <w:rsid w:val="00CF2623"/>
    <w:rsid w:val="00CF2A13"/>
    <w:rsid w:val="00CF2A1A"/>
    <w:rsid w:val="00CF32EF"/>
    <w:rsid w:val="00CF4A29"/>
    <w:rsid w:val="00CF4E43"/>
    <w:rsid w:val="00CF5251"/>
    <w:rsid w:val="00CF6403"/>
    <w:rsid w:val="00CF6C14"/>
    <w:rsid w:val="00CF7511"/>
    <w:rsid w:val="00D010C1"/>
    <w:rsid w:val="00D03932"/>
    <w:rsid w:val="00D04C12"/>
    <w:rsid w:val="00D07E08"/>
    <w:rsid w:val="00D1014C"/>
    <w:rsid w:val="00D11D4D"/>
    <w:rsid w:val="00D1224F"/>
    <w:rsid w:val="00D1318D"/>
    <w:rsid w:val="00D1350E"/>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5E82"/>
    <w:rsid w:val="00D4640B"/>
    <w:rsid w:val="00D46E48"/>
    <w:rsid w:val="00D47764"/>
    <w:rsid w:val="00D4797B"/>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5C1A"/>
    <w:rsid w:val="00D76B69"/>
    <w:rsid w:val="00D76F1B"/>
    <w:rsid w:val="00D80922"/>
    <w:rsid w:val="00D8225A"/>
    <w:rsid w:val="00D82824"/>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3410"/>
    <w:rsid w:val="00DA670E"/>
    <w:rsid w:val="00DA7B39"/>
    <w:rsid w:val="00DB088B"/>
    <w:rsid w:val="00DB102F"/>
    <w:rsid w:val="00DB196B"/>
    <w:rsid w:val="00DB1F22"/>
    <w:rsid w:val="00DB2596"/>
    <w:rsid w:val="00DB3451"/>
    <w:rsid w:val="00DB41D5"/>
    <w:rsid w:val="00DB4DAD"/>
    <w:rsid w:val="00DB521F"/>
    <w:rsid w:val="00DB66A1"/>
    <w:rsid w:val="00DB6B76"/>
    <w:rsid w:val="00DB7843"/>
    <w:rsid w:val="00DC0035"/>
    <w:rsid w:val="00DC03F5"/>
    <w:rsid w:val="00DC0BEE"/>
    <w:rsid w:val="00DC0E1C"/>
    <w:rsid w:val="00DC2CE3"/>
    <w:rsid w:val="00DC2F7F"/>
    <w:rsid w:val="00DC49E4"/>
    <w:rsid w:val="00DC500B"/>
    <w:rsid w:val="00DC6558"/>
    <w:rsid w:val="00DC6E71"/>
    <w:rsid w:val="00DC719C"/>
    <w:rsid w:val="00DD19AD"/>
    <w:rsid w:val="00DD4370"/>
    <w:rsid w:val="00DD62A7"/>
    <w:rsid w:val="00DE02EB"/>
    <w:rsid w:val="00DE0847"/>
    <w:rsid w:val="00DE1A3E"/>
    <w:rsid w:val="00DE2EAE"/>
    <w:rsid w:val="00DE4E44"/>
    <w:rsid w:val="00DE50CD"/>
    <w:rsid w:val="00DE605B"/>
    <w:rsid w:val="00DE6135"/>
    <w:rsid w:val="00DF0C23"/>
    <w:rsid w:val="00DF19F6"/>
    <w:rsid w:val="00DF21FF"/>
    <w:rsid w:val="00DF3536"/>
    <w:rsid w:val="00DF51E3"/>
    <w:rsid w:val="00DF53C3"/>
    <w:rsid w:val="00DF5573"/>
    <w:rsid w:val="00DF6AF7"/>
    <w:rsid w:val="00DF736B"/>
    <w:rsid w:val="00E0076B"/>
    <w:rsid w:val="00E03FB7"/>
    <w:rsid w:val="00E05800"/>
    <w:rsid w:val="00E0632F"/>
    <w:rsid w:val="00E06D3C"/>
    <w:rsid w:val="00E075D5"/>
    <w:rsid w:val="00E12DCE"/>
    <w:rsid w:val="00E13FBC"/>
    <w:rsid w:val="00E14B44"/>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2CA0"/>
    <w:rsid w:val="00E43952"/>
    <w:rsid w:val="00E43FC9"/>
    <w:rsid w:val="00E44C1B"/>
    <w:rsid w:val="00E468A6"/>
    <w:rsid w:val="00E501BF"/>
    <w:rsid w:val="00E50CBD"/>
    <w:rsid w:val="00E51CEB"/>
    <w:rsid w:val="00E529EE"/>
    <w:rsid w:val="00E532C1"/>
    <w:rsid w:val="00E536A7"/>
    <w:rsid w:val="00E5420F"/>
    <w:rsid w:val="00E55FF2"/>
    <w:rsid w:val="00E56B81"/>
    <w:rsid w:val="00E57378"/>
    <w:rsid w:val="00E60D77"/>
    <w:rsid w:val="00E61212"/>
    <w:rsid w:val="00E61D26"/>
    <w:rsid w:val="00E62EEC"/>
    <w:rsid w:val="00E651CF"/>
    <w:rsid w:val="00E653C7"/>
    <w:rsid w:val="00E65CDC"/>
    <w:rsid w:val="00E664EB"/>
    <w:rsid w:val="00E70C34"/>
    <w:rsid w:val="00E71A03"/>
    <w:rsid w:val="00E73D22"/>
    <w:rsid w:val="00E77388"/>
    <w:rsid w:val="00E8326A"/>
    <w:rsid w:val="00E90333"/>
    <w:rsid w:val="00E919F1"/>
    <w:rsid w:val="00E92325"/>
    <w:rsid w:val="00E92DEE"/>
    <w:rsid w:val="00E932CD"/>
    <w:rsid w:val="00E93428"/>
    <w:rsid w:val="00E934A7"/>
    <w:rsid w:val="00E94D25"/>
    <w:rsid w:val="00E9638B"/>
    <w:rsid w:val="00E96A57"/>
    <w:rsid w:val="00E973F2"/>
    <w:rsid w:val="00EA0785"/>
    <w:rsid w:val="00EA1C84"/>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1272"/>
    <w:rsid w:val="00ED1CF1"/>
    <w:rsid w:val="00ED2F40"/>
    <w:rsid w:val="00ED4887"/>
    <w:rsid w:val="00ED6623"/>
    <w:rsid w:val="00ED67E0"/>
    <w:rsid w:val="00EE6841"/>
    <w:rsid w:val="00EE6A85"/>
    <w:rsid w:val="00EE6C78"/>
    <w:rsid w:val="00EE7D3F"/>
    <w:rsid w:val="00EF00CB"/>
    <w:rsid w:val="00EF2B62"/>
    <w:rsid w:val="00EF31DF"/>
    <w:rsid w:val="00EF3360"/>
    <w:rsid w:val="00EF55D5"/>
    <w:rsid w:val="00EF6594"/>
    <w:rsid w:val="00EF66EA"/>
    <w:rsid w:val="00F03E5A"/>
    <w:rsid w:val="00F06974"/>
    <w:rsid w:val="00F071D9"/>
    <w:rsid w:val="00F07BB5"/>
    <w:rsid w:val="00F105F0"/>
    <w:rsid w:val="00F11779"/>
    <w:rsid w:val="00F120BC"/>
    <w:rsid w:val="00F12751"/>
    <w:rsid w:val="00F15B49"/>
    <w:rsid w:val="00F166B7"/>
    <w:rsid w:val="00F169C3"/>
    <w:rsid w:val="00F20872"/>
    <w:rsid w:val="00F20D03"/>
    <w:rsid w:val="00F214AF"/>
    <w:rsid w:val="00F21719"/>
    <w:rsid w:val="00F21952"/>
    <w:rsid w:val="00F21E60"/>
    <w:rsid w:val="00F224B0"/>
    <w:rsid w:val="00F22FB3"/>
    <w:rsid w:val="00F24165"/>
    <w:rsid w:val="00F24EB7"/>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67D1"/>
    <w:rsid w:val="00F5749B"/>
    <w:rsid w:val="00F57679"/>
    <w:rsid w:val="00F613CA"/>
    <w:rsid w:val="00F61A77"/>
    <w:rsid w:val="00F62CE0"/>
    <w:rsid w:val="00F6370A"/>
    <w:rsid w:val="00F649DD"/>
    <w:rsid w:val="00F679AA"/>
    <w:rsid w:val="00F67C4B"/>
    <w:rsid w:val="00F72B08"/>
    <w:rsid w:val="00F73D57"/>
    <w:rsid w:val="00F74072"/>
    <w:rsid w:val="00F74376"/>
    <w:rsid w:val="00F74B8D"/>
    <w:rsid w:val="00F75635"/>
    <w:rsid w:val="00F807F9"/>
    <w:rsid w:val="00F80D62"/>
    <w:rsid w:val="00F812B3"/>
    <w:rsid w:val="00F81619"/>
    <w:rsid w:val="00F821EB"/>
    <w:rsid w:val="00F83B7C"/>
    <w:rsid w:val="00F84F25"/>
    <w:rsid w:val="00F84F48"/>
    <w:rsid w:val="00F87123"/>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740B"/>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imarycarebulletin.cmail19.com/t/d-l-etjdydk-tluhhdhyld-i/" TargetMode="External"/><Relationship Id="rId18" Type="http://schemas.openxmlformats.org/officeDocument/2006/relationships/hyperlink" Target="https://primarycarebulletin.cmail19.com/t/d-l-etjdydk-tluhhdhyld-v/" TargetMode="External"/><Relationship Id="rId26" Type="http://schemas.openxmlformats.org/officeDocument/2006/relationships/hyperlink" Target="https://x.com/anish_k_patel/status/1755952672778101012?s=48&amp;t=HzdJH8F6V1mE-9k-uBOJEQ" TargetMode="External"/><Relationship Id="rId3" Type="http://schemas.openxmlformats.org/officeDocument/2006/relationships/customXml" Target="../customXml/item3.xml"/><Relationship Id="rId21" Type="http://schemas.openxmlformats.org/officeDocument/2006/relationships/hyperlink" Target="https://nhs.us5.list-manage.com/track/click?u=fc496e37a02fff5979483df7e&amp;id=5ed99a4d57&amp;e=f358f9336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imarycarebulletin.cmail19.com/t/d-l-etjdydk-tluhhdhyld-t/" TargetMode="External"/><Relationship Id="rId17" Type="http://schemas.openxmlformats.org/officeDocument/2006/relationships/hyperlink" Target="https://primarycarebulletin.cmail19.com/t/d-l-etjdydk-tluhhdhyld-z/" TargetMode="External"/><Relationship Id="rId25" Type="http://schemas.openxmlformats.org/officeDocument/2006/relationships/hyperlink" Target="mailto:gpcontract@bma.org.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imarycarebulletin.cmail19.com/t/d-l-etjdydk-tluhhdhyld-f/" TargetMode="External"/><Relationship Id="rId20" Type="http://schemas.openxmlformats.org/officeDocument/2006/relationships/hyperlink" Target="https://nhs.us5.list-manage.com/track/click?u=fc496e37a02fff5979483df7e&amp;id=0d2224c136&amp;e=f358f93361" TargetMode="External"/><Relationship Id="rId29" Type="http://schemas.openxmlformats.org/officeDocument/2006/relationships/hyperlink" Target="https://www.gov.uk/coronavi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arycarebulletin.cmail19.com/t/d-l-etjdydk-tluhhdhyld-j/" TargetMode="External"/><Relationship Id="rId24" Type="http://schemas.openxmlformats.org/officeDocument/2006/relationships/hyperlink" Target="https://nhs.us5.list-manage.com/track/click?u=fc496e37a02fff5979483df7e&amp;id=7fc7b45f45&amp;e=f358f93361"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rimarycarebulletin.cmail19.com/t/d-l-etjdydk-tluhhdhyld-d/" TargetMode="External"/><Relationship Id="rId23" Type="http://schemas.openxmlformats.org/officeDocument/2006/relationships/hyperlink" Target="https://nhs.us5.list-manage.com/track/click?u=fc496e37a02fff5979483df7e&amp;id=02c7a2794f&amp;e=f358f93361" TargetMode="External"/><Relationship Id="rId28" Type="http://schemas.openxmlformats.org/officeDocument/2006/relationships/hyperlink" Target="https://www.bma.org.uk/advice-and-support/gp-practices" TargetMode="External"/><Relationship Id="rId10" Type="http://schemas.openxmlformats.org/officeDocument/2006/relationships/endnotes" Target="endnotes.xml"/><Relationship Id="rId19" Type="http://schemas.openxmlformats.org/officeDocument/2006/relationships/hyperlink" Target="https://nhs.us5.list-manage.com/track/click?u=fc496e37a02fff5979483df7e&amp;id=889c162469&amp;e=f358f9336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d.nationalservicedesk@nhs.net" TargetMode="External"/><Relationship Id="rId22" Type="http://schemas.openxmlformats.org/officeDocument/2006/relationships/hyperlink" Target="https://nhs.us5.list-manage.com/track/click?u=fc496e37a02fff5979483df7e&amp;id=73ef493e24&amp;e=f358f93361" TargetMode="External"/><Relationship Id="rId27" Type="http://schemas.openxmlformats.org/officeDocument/2006/relationships/hyperlink" Target="mailto:birmingham.lmc@nhs.net" TargetMode="External"/><Relationship Id="rId30" Type="http://schemas.openxmlformats.org/officeDocument/2006/relationships/hyperlink" Target="https://www.england.nhs.uk/"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ecbdd6cfaa47f63746e38e14cd73802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a73f719af26d9a3b29f25a05656af319"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209E70CB-DAC3-42D9-B220-EF0CD11B3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2024-05-21T09:50:00Z</dcterms:created>
  <dcterms:modified xsi:type="dcterms:W3CDTF">2024-05-21T09:50:00Z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