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619D69A8">
                <wp:simplePos x="0" y="0"/>
                <wp:positionH relativeFrom="margin">
                  <wp:align>left</wp:align>
                </wp:positionH>
                <wp:positionV relativeFrom="paragraph">
                  <wp:posOffset>69215</wp:posOffset>
                </wp:positionV>
                <wp:extent cx="5463540" cy="83820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38200"/>
                        </a:xfrm>
                        <a:prstGeom prst="rect">
                          <a:avLst/>
                        </a:prstGeom>
                        <a:noFill/>
                        <a:ln w="9525">
                          <a:noFill/>
                          <a:miter lim="800000"/>
                          <a:headEnd/>
                          <a:tailEnd/>
                        </a:ln>
                      </wps:spPr>
                      <wps:txbx>
                        <w:txbxContent>
                          <w:p w14:paraId="456C3362" w14:textId="3141CE07"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397193">
                              <w:rPr>
                                <w:b/>
                                <w:bCs/>
                                <w:i/>
                                <w:iCs/>
                                <w:color w:val="4472C4" w:themeColor="accent1"/>
                                <w:sz w:val="44"/>
                                <w:szCs w:val="44"/>
                              </w:rPr>
                              <w:t>11</w:t>
                            </w:r>
                            <w:r w:rsidR="00397193" w:rsidRPr="00397193">
                              <w:rPr>
                                <w:b/>
                                <w:bCs/>
                                <w:i/>
                                <w:iCs/>
                                <w:color w:val="4472C4" w:themeColor="accent1"/>
                                <w:sz w:val="44"/>
                                <w:szCs w:val="44"/>
                                <w:vertAlign w:val="superscript"/>
                              </w:rPr>
                              <w:t>th</w:t>
                            </w:r>
                            <w:r w:rsidR="00397193">
                              <w:rPr>
                                <w:b/>
                                <w:bCs/>
                                <w:i/>
                                <w:iCs/>
                                <w:color w:val="4472C4" w:themeColor="accent1"/>
                                <w:sz w:val="44"/>
                                <w:szCs w:val="44"/>
                              </w:rPr>
                              <w:t xml:space="preserve"> of October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" filled="f" stroked="f">
                <v:textbox>
                  <w:txbxContent>
                    <w:p w14:paraId="456C3362" w14:textId="3141CE07"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397193">
                        <w:rPr>
                          <w:b/>
                          <w:bCs/>
                          <w:i/>
                          <w:iCs/>
                          <w:color w:val="4472C4" w:themeColor="accent1"/>
                          <w:sz w:val="44"/>
                          <w:szCs w:val="44"/>
                        </w:rPr>
                        <w:t>11</w:t>
                      </w:r>
                      <w:r w:rsidR="00397193" w:rsidRPr="00397193">
                        <w:rPr>
                          <w:b/>
                          <w:bCs/>
                          <w:i/>
                          <w:iCs/>
                          <w:color w:val="4472C4" w:themeColor="accent1"/>
                          <w:sz w:val="44"/>
                          <w:szCs w:val="44"/>
                          <w:vertAlign w:val="superscript"/>
                        </w:rPr>
                        <w:t>th</w:t>
                      </w:r>
                      <w:r w:rsidR="00397193">
                        <w:rPr>
                          <w:b/>
                          <w:bCs/>
                          <w:i/>
                          <w:iCs/>
                          <w:color w:val="4472C4" w:themeColor="accent1"/>
                          <w:sz w:val="44"/>
                          <w:szCs w:val="44"/>
                        </w:rPr>
                        <w:t xml:space="preserve"> of October 2024</w:t>
                      </w:r>
                    </w:p>
                  </w:txbxContent>
                </v:textbox>
                <w10:wrap type="topAndBottom" anchorx="margin"/>
              </v:shape>
            </w:pict>
          </mc:Fallback>
        </mc:AlternateContent>
      </w:r>
    </w:p>
    <w:p w14:paraId="3A66C57D" w14:textId="77777777" w:rsidR="00BE5396" w:rsidRPr="0070730E" w:rsidRDefault="00BE5396" w:rsidP="0070730E">
      <w:pPr>
        <w:spacing w:after="0"/>
        <w:textAlignment w:val="baseline"/>
        <w:rPr>
          <w:rFonts w:ascii="Calibri" w:hAnsi="Calibri" w:cs="Calibri"/>
          <w:color w:val="202020"/>
        </w:rPr>
      </w:pPr>
    </w:p>
    <w:p w14:paraId="514B6A57" w14:textId="77777777" w:rsidR="00D614E2" w:rsidRDefault="00D614E2" w:rsidP="0070730E">
      <w:pPr>
        <w:spacing w:after="0"/>
        <w:textAlignment w:val="baseline"/>
      </w:pPr>
    </w:p>
    <w:p w14:paraId="5802F772" w14:textId="77777777" w:rsidR="00397193" w:rsidRDefault="00397193" w:rsidP="0070730E">
      <w:pPr>
        <w:spacing w:after="0"/>
        <w:textAlignment w:val="baseline"/>
      </w:pPr>
    </w:p>
    <w:p w14:paraId="78EBBF1F" w14:textId="3C197CDB" w:rsidR="00397193" w:rsidRPr="00336C38" w:rsidRDefault="00336C38" w:rsidP="0070730E">
      <w:pPr>
        <w:spacing w:after="0"/>
        <w:textAlignment w:val="baseline"/>
        <w:rPr>
          <w:rStyle w:val="Hyperlink"/>
        </w:rPr>
      </w:pPr>
      <w:r>
        <w:rPr>
          <w:b/>
          <w:bCs/>
          <w:color w:val="2F5496" w:themeColor="accent1" w:themeShade="BF"/>
          <w:sz w:val="24"/>
          <w:szCs w:val="24"/>
        </w:rPr>
        <w:fldChar w:fldCharType="begin"/>
      </w:r>
      <w:r>
        <w:rPr>
          <w:b/>
          <w:bCs/>
          <w:color w:val="2F5496" w:themeColor="accent1" w:themeShade="BF"/>
          <w:sz w:val="24"/>
          <w:szCs w:val="24"/>
        </w:rPr>
        <w:instrText>HYPERLINK  \l "NO1"</w:instrText>
      </w:r>
      <w:r>
        <w:rPr>
          <w:b/>
          <w:bCs/>
          <w:color w:val="2F5496" w:themeColor="accent1" w:themeShade="BF"/>
          <w:sz w:val="24"/>
          <w:szCs w:val="24"/>
        </w:rPr>
      </w:r>
      <w:r>
        <w:rPr>
          <w:b/>
          <w:bCs/>
          <w:color w:val="2F5496" w:themeColor="accent1" w:themeShade="BF"/>
          <w:sz w:val="24"/>
          <w:szCs w:val="24"/>
        </w:rPr>
        <w:fldChar w:fldCharType="separate"/>
      </w:r>
    </w:p>
    <w:p w14:paraId="0A27D154" w14:textId="6D0AB2C6" w:rsidR="00397193" w:rsidRPr="00336C38" w:rsidRDefault="007360E7" w:rsidP="007360E7">
      <w:pPr>
        <w:pStyle w:val="ListParagraph"/>
        <w:numPr>
          <w:ilvl w:val="0"/>
          <w:numId w:val="88"/>
        </w:numPr>
        <w:spacing w:after="0"/>
        <w:textAlignment w:val="baseline"/>
        <w:rPr>
          <w:b/>
          <w:bCs/>
          <w:color w:val="2F5496" w:themeColor="accent1" w:themeShade="BF"/>
          <w:sz w:val="24"/>
          <w:szCs w:val="24"/>
        </w:rPr>
      </w:pPr>
      <w:r w:rsidRPr="00336C38">
        <w:rPr>
          <w:rStyle w:val="Hyperlink"/>
          <w:b/>
          <w:bCs/>
          <w:sz w:val="24"/>
          <w:szCs w:val="24"/>
          <w14:textFill>
            <w14:solidFill>
              <w14:srgbClr w14:val="0563C1">
                <w14:lumMod w14:val="75000"/>
              </w14:srgbClr>
            </w14:solidFill>
          </w14:textFill>
        </w:rPr>
        <w:t>LMC/GPC UPDATE FOR ALL GPs AND PMs</w:t>
      </w:r>
      <w:r w:rsidR="00336C38">
        <w:rPr>
          <w:b/>
          <w:bCs/>
          <w:color w:val="2F5496" w:themeColor="accent1" w:themeShade="BF"/>
          <w:sz w:val="24"/>
          <w:szCs w:val="24"/>
        </w:rPr>
        <w:fldChar w:fldCharType="end"/>
      </w:r>
    </w:p>
    <w:p w14:paraId="049B6A88" w14:textId="79593388" w:rsidR="007360E7" w:rsidRPr="00336C38" w:rsidRDefault="00336C38" w:rsidP="007360E7">
      <w:pPr>
        <w:pStyle w:val="ListParagraph"/>
        <w:numPr>
          <w:ilvl w:val="0"/>
          <w:numId w:val="88"/>
        </w:numPr>
        <w:spacing w:after="0"/>
        <w:textAlignment w:val="baseline"/>
        <w:rPr>
          <w:b/>
          <w:bCs/>
          <w:color w:val="2F5496" w:themeColor="accent1" w:themeShade="BF"/>
          <w:sz w:val="24"/>
          <w:szCs w:val="24"/>
        </w:rPr>
      </w:pPr>
      <w:hyperlink w:anchor="NO2" w:history="1">
        <w:r w:rsidR="007360E7" w:rsidRPr="00336C38">
          <w:rPr>
            <w:rStyle w:val="Hyperlink"/>
            <w:b/>
            <w:bCs/>
            <w:sz w:val="24"/>
            <w:szCs w:val="24"/>
            <w14:textFill>
              <w14:solidFill>
                <w14:srgbClr w14:val="0563C1">
                  <w14:lumMod w14:val="75000"/>
                </w14:srgbClr>
              </w14:solidFill>
            </w14:textFill>
          </w:rPr>
          <w:t xml:space="preserve">General Practice </w:t>
        </w:r>
        <w:r w:rsidR="00223311" w:rsidRPr="00336C38">
          <w:rPr>
            <w:rStyle w:val="Hyperlink"/>
            <w:b/>
            <w:bCs/>
            <w:sz w:val="24"/>
            <w:szCs w:val="24"/>
            <w14:textFill>
              <w14:solidFill>
                <w14:srgbClr w14:val="0563C1">
                  <w14:lumMod w14:val="75000"/>
                </w14:srgbClr>
              </w14:solidFill>
            </w14:textFill>
          </w:rPr>
          <w:t>Staff Survey</w:t>
        </w:r>
      </w:hyperlink>
      <w:r w:rsidR="00223311" w:rsidRPr="00336C38">
        <w:rPr>
          <w:b/>
          <w:bCs/>
          <w:color w:val="2F5496" w:themeColor="accent1" w:themeShade="BF"/>
          <w:sz w:val="24"/>
          <w:szCs w:val="24"/>
        </w:rPr>
        <w:t xml:space="preserve"> </w:t>
      </w:r>
    </w:p>
    <w:p w14:paraId="651D1283" w14:textId="344A192E" w:rsidR="00223311" w:rsidRPr="00336C38" w:rsidRDefault="008F3047" w:rsidP="007360E7">
      <w:pPr>
        <w:pStyle w:val="ListParagraph"/>
        <w:numPr>
          <w:ilvl w:val="0"/>
          <w:numId w:val="88"/>
        </w:numPr>
        <w:spacing w:after="0"/>
        <w:textAlignment w:val="baseline"/>
        <w:rPr>
          <w:b/>
          <w:bCs/>
          <w:color w:val="2F5496" w:themeColor="accent1" w:themeShade="BF"/>
          <w:sz w:val="24"/>
          <w:szCs w:val="24"/>
        </w:rPr>
      </w:pPr>
      <w:hyperlink w:anchor="NO3" w:history="1">
        <w:r w:rsidR="00223311" w:rsidRPr="008F3047">
          <w:rPr>
            <w:rStyle w:val="Hyperlink"/>
            <w:b/>
            <w:bCs/>
            <w:sz w:val="24"/>
            <w:szCs w:val="24"/>
            <w14:textFill>
              <w14:solidFill>
                <w14:srgbClr w14:val="0563C1">
                  <w14:lumMod w14:val="75000"/>
                </w14:srgbClr>
              </w14:solidFill>
            </w14:textFill>
          </w:rPr>
          <w:t xml:space="preserve">Update on contract </w:t>
        </w:r>
        <w:r w:rsidR="004E3A87" w:rsidRPr="008F3047">
          <w:rPr>
            <w:rStyle w:val="Hyperlink"/>
            <w:b/>
            <w:bCs/>
            <w:sz w:val="24"/>
            <w:szCs w:val="24"/>
            <w14:textFill>
              <w14:solidFill>
                <w14:srgbClr w14:val="0563C1">
                  <w14:lumMod w14:val="75000"/>
                </w14:srgbClr>
              </w14:solidFill>
            </w14:textFill>
          </w:rPr>
          <w:t>changes and implementation of funding</w:t>
        </w:r>
      </w:hyperlink>
    </w:p>
    <w:p w14:paraId="57B058F0" w14:textId="507EE78F" w:rsidR="004E3A87" w:rsidRPr="00336C38" w:rsidRDefault="00DA1DBB" w:rsidP="007360E7">
      <w:pPr>
        <w:pStyle w:val="ListParagraph"/>
        <w:numPr>
          <w:ilvl w:val="0"/>
          <w:numId w:val="88"/>
        </w:numPr>
        <w:spacing w:after="0"/>
        <w:textAlignment w:val="baseline"/>
        <w:rPr>
          <w:b/>
          <w:bCs/>
          <w:color w:val="2F5496" w:themeColor="accent1" w:themeShade="BF"/>
          <w:sz w:val="24"/>
          <w:szCs w:val="24"/>
        </w:rPr>
      </w:pPr>
      <w:hyperlink w:anchor="NO4" w:history="1">
        <w:r w:rsidR="004E3A87" w:rsidRPr="00DA1DBB">
          <w:rPr>
            <w:rStyle w:val="Hyperlink"/>
            <w:b/>
            <w:bCs/>
            <w:sz w:val="24"/>
            <w:szCs w:val="24"/>
            <w14:textFill>
              <w14:solidFill>
                <w14:srgbClr w14:val="0563C1">
                  <w14:lumMod w14:val="75000"/>
                </w14:srgbClr>
              </w14:solidFill>
            </w14:textFill>
          </w:rPr>
          <w:t xml:space="preserve">New: Reminder to remove </w:t>
        </w:r>
        <w:r w:rsidR="00856E07" w:rsidRPr="00DA1DBB">
          <w:rPr>
            <w:rStyle w:val="Hyperlink"/>
            <w:b/>
            <w:bCs/>
            <w:sz w:val="24"/>
            <w:szCs w:val="24"/>
            <w14:textFill>
              <w14:solidFill>
                <w14:srgbClr w14:val="0563C1">
                  <w14:lumMod w14:val="75000"/>
                </w14:srgbClr>
              </w14:solidFill>
            </w14:textFill>
          </w:rPr>
          <w:t>smartcard access for users who have left</w:t>
        </w:r>
      </w:hyperlink>
    </w:p>
    <w:p w14:paraId="3BFBE919" w14:textId="5DE6FCDA" w:rsidR="00856E07" w:rsidRPr="00336C38" w:rsidRDefault="00DA1DBB" w:rsidP="007360E7">
      <w:pPr>
        <w:pStyle w:val="ListParagraph"/>
        <w:numPr>
          <w:ilvl w:val="0"/>
          <w:numId w:val="88"/>
        </w:numPr>
        <w:spacing w:after="0"/>
        <w:textAlignment w:val="baseline"/>
        <w:rPr>
          <w:b/>
          <w:bCs/>
          <w:color w:val="2F5496" w:themeColor="accent1" w:themeShade="BF"/>
          <w:sz w:val="24"/>
          <w:szCs w:val="24"/>
        </w:rPr>
      </w:pPr>
      <w:hyperlink w:anchor="NO5" w:history="1">
        <w:r w:rsidR="00856E07" w:rsidRPr="00DA1DBB">
          <w:rPr>
            <w:rStyle w:val="Hyperlink"/>
            <w:b/>
            <w:bCs/>
            <w:sz w:val="24"/>
            <w:szCs w:val="24"/>
            <w14:textFill>
              <w14:solidFill>
                <w14:srgbClr w14:val="0563C1">
                  <w14:lumMod w14:val="75000"/>
                </w14:srgbClr>
              </w14:solidFill>
            </w14:textFill>
          </w:rPr>
          <w:t>Pathway action cards for primary care – mpox</w:t>
        </w:r>
      </w:hyperlink>
    </w:p>
    <w:p w14:paraId="194B8764" w14:textId="2C089577" w:rsidR="00856E07" w:rsidRPr="00336C38" w:rsidRDefault="00DA1DBB" w:rsidP="007360E7">
      <w:pPr>
        <w:pStyle w:val="ListParagraph"/>
        <w:numPr>
          <w:ilvl w:val="0"/>
          <w:numId w:val="88"/>
        </w:numPr>
        <w:spacing w:after="0"/>
        <w:textAlignment w:val="baseline"/>
        <w:rPr>
          <w:b/>
          <w:bCs/>
          <w:color w:val="2F5496" w:themeColor="accent1" w:themeShade="BF"/>
          <w:sz w:val="24"/>
          <w:szCs w:val="24"/>
        </w:rPr>
      </w:pPr>
      <w:hyperlink w:anchor="NO6" w:history="1">
        <w:r w:rsidR="00856E07" w:rsidRPr="00DA1DBB">
          <w:rPr>
            <w:rStyle w:val="Hyperlink"/>
            <w:b/>
            <w:bCs/>
            <w:sz w:val="24"/>
            <w:szCs w:val="24"/>
            <w14:textFill>
              <w14:solidFill>
                <w14:srgbClr w14:val="0563C1">
                  <w14:lumMod w14:val="75000"/>
                </w14:srgbClr>
              </w14:solidFill>
            </w14:textFill>
          </w:rPr>
          <w:t>RPS and RCGP repeat prescribing toolkit</w:t>
        </w:r>
      </w:hyperlink>
      <w:r w:rsidR="00856E07" w:rsidRPr="00336C38">
        <w:rPr>
          <w:b/>
          <w:bCs/>
          <w:color w:val="2F5496" w:themeColor="accent1" w:themeShade="BF"/>
          <w:sz w:val="24"/>
          <w:szCs w:val="24"/>
        </w:rPr>
        <w:t xml:space="preserve"> </w:t>
      </w:r>
    </w:p>
    <w:p w14:paraId="711CE2DD" w14:textId="72806F81" w:rsidR="00856E07" w:rsidRPr="00336C38" w:rsidRDefault="00DA1DBB" w:rsidP="007360E7">
      <w:pPr>
        <w:pStyle w:val="ListParagraph"/>
        <w:numPr>
          <w:ilvl w:val="0"/>
          <w:numId w:val="88"/>
        </w:numPr>
        <w:spacing w:after="0"/>
        <w:textAlignment w:val="baseline"/>
        <w:rPr>
          <w:b/>
          <w:bCs/>
          <w:color w:val="2F5496" w:themeColor="accent1" w:themeShade="BF"/>
          <w:sz w:val="24"/>
          <w:szCs w:val="24"/>
        </w:rPr>
      </w:pPr>
      <w:hyperlink w:anchor="NO7" w:history="1">
        <w:r w:rsidR="00856E07" w:rsidRPr="00DA1DBB">
          <w:rPr>
            <w:rStyle w:val="Hyperlink"/>
            <w:b/>
            <w:bCs/>
            <w:sz w:val="24"/>
            <w:szCs w:val="24"/>
            <w14:textFill>
              <w14:solidFill>
                <w14:srgbClr w14:val="0563C1">
                  <w14:lumMod w14:val="75000"/>
                </w14:srgbClr>
              </w14:solidFill>
            </w14:textFill>
          </w:rPr>
          <w:t>A</w:t>
        </w:r>
        <w:r w:rsidR="00EF7C4C" w:rsidRPr="00DA1DBB">
          <w:rPr>
            <w:rStyle w:val="Hyperlink"/>
            <w:b/>
            <w:bCs/>
            <w:sz w:val="24"/>
            <w:szCs w:val="24"/>
            <w14:textFill>
              <w14:solidFill>
                <w14:srgbClr w14:val="0563C1">
                  <w14:lumMod w14:val="75000"/>
                </w14:srgbClr>
              </w14:solidFill>
            </w14:textFill>
          </w:rPr>
          <w:t xml:space="preserve">doption of the national Freedom to Speak Up (FTSU) policy and access to a Guardian </w:t>
        </w:r>
        <w:r w:rsidR="00336C38" w:rsidRPr="00DA1DBB">
          <w:rPr>
            <w:rStyle w:val="Hyperlink"/>
            <w:b/>
            <w:bCs/>
            <w:sz w:val="24"/>
            <w:szCs w:val="24"/>
            <w14:textFill>
              <w14:solidFill>
                <w14:srgbClr w14:val="0563C1">
                  <w14:lumMod w14:val="75000"/>
                </w14:srgbClr>
              </w14:solidFill>
            </w14:textFill>
          </w:rPr>
          <w:t>for primary care workers</w:t>
        </w:r>
      </w:hyperlink>
    </w:p>
    <w:p w14:paraId="038AEA82" w14:textId="77777777" w:rsidR="007360E7" w:rsidRDefault="007360E7" w:rsidP="0070730E">
      <w:pPr>
        <w:spacing w:after="0"/>
        <w:textAlignment w:val="baseline"/>
      </w:pPr>
    </w:p>
    <w:p w14:paraId="00BD2BFA" w14:textId="77777777" w:rsidR="00397193" w:rsidRDefault="00397193" w:rsidP="0070730E">
      <w:pPr>
        <w:spacing w:after="0"/>
        <w:textAlignment w:val="baseline"/>
      </w:pPr>
    </w:p>
    <w:p w14:paraId="40B39BB5" w14:textId="77777777" w:rsidR="00397193" w:rsidRDefault="00397193" w:rsidP="0070730E">
      <w:pPr>
        <w:spacing w:after="0"/>
        <w:textAlignment w:val="baseline"/>
      </w:pPr>
    </w:p>
    <w:p w14:paraId="700AA3CE" w14:textId="77777777" w:rsidR="00397193" w:rsidRDefault="00397193" w:rsidP="0070730E">
      <w:pPr>
        <w:spacing w:after="0"/>
        <w:textAlignment w:val="baseline"/>
      </w:pPr>
    </w:p>
    <w:p w14:paraId="6CBDCFE5" w14:textId="77777777" w:rsidR="00397193" w:rsidRDefault="00397193" w:rsidP="0070730E">
      <w:pPr>
        <w:spacing w:after="0"/>
        <w:textAlignment w:val="baseline"/>
      </w:pPr>
    </w:p>
    <w:p w14:paraId="72DFA306" w14:textId="77777777" w:rsidR="00397193" w:rsidRDefault="00397193" w:rsidP="0070730E">
      <w:pPr>
        <w:spacing w:after="0"/>
        <w:textAlignment w:val="baseline"/>
      </w:pPr>
    </w:p>
    <w:p w14:paraId="659F53EF" w14:textId="77777777" w:rsidR="00397193" w:rsidRDefault="00397193" w:rsidP="0070730E">
      <w:pPr>
        <w:spacing w:after="0"/>
        <w:textAlignment w:val="baseline"/>
      </w:pPr>
    </w:p>
    <w:p w14:paraId="113AA136" w14:textId="77777777" w:rsidR="00397193" w:rsidRDefault="00397193" w:rsidP="0070730E">
      <w:pPr>
        <w:spacing w:after="0"/>
        <w:textAlignment w:val="baseline"/>
      </w:pPr>
    </w:p>
    <w:p w14:paraId="7754EA80" w14:textId="77777777" w:rsidR="00397193" w:rsidRDefault="00397193" w:rsidP="0070730E">
      <w:pPr>
        <w:spacing w:after="0"/>
        <w:textAlignment w:val="baseline"/>
      </w:pPr>
    </w:p>
    <w:p w14:paraId="31DB8097" w14:textId="77777777" w:rsidR="00397193" w:rsidRDefault="00397193" w:rsidP="0070730E">
      <w:pPr>
        <w:spacing w:after="0"/>
        <w:textAlignment w:val="baseline"/>
      </w:pPr>
    </w:p>
    <w:p w14:paraId="6A86184C" w14:textId="77777777" w:rsidR="00397193" w:rsidRDefault="00397193" w:rsidP="0070730E">
      <w:pPr>
        <w:spacing w:after="0"/>
        <w:textAlignment w:val="baseline"/>
      </w:pPr>
    </w:p>
    <w:p w14:paraId="1806626D" w14:textId="77777777" w:rsidR="00397193" w:rsidRDefault="00397193" w:rsidP="0070730E">
      <w:pPr>
        <w:spacing w:after="0"/>
        <w:textAlignment w:val="baseline"/>
      </w:pPr>
    </w:p>
    <w:p w14:paraId="754C01B3" w14:textId="77777777" w:rsidR="00397193" w:rsidRDefault="00397193" w:rsidP="0070730E">
      <w:pPr>
        <w:spacing w:after="0"/>
        <w:textAlignment w:val="baseline"/>
      </w:pPr>
    </w:p>
    <w:p w14:paraId="56D5F2C4" w14:textId="77777777" w:rsidR="00397193" w:rsidRDefault="00397193" w:rsidP="0070730E">
      <w:pPr>
        <w:spacing w:after="0"/>
        <w:textAlignment w:val="baseline"/>
      </w:pPr>
    </w:p>
    <w:p w14:paraId="71AD7E8E" w14:textId="77777777" w:rsidR="00397193" w:rsidRDefault="00397193" w:rsidP="0070730E">
      <w:pPr>
        <w:spacing w:after="0"/>
        <w:textAlignment w:val="baseline"/>
      </w:pPr>
    </w:p>
    <w:p w14:paraId="322E378C" w14:textId="77777777" w:rsidR="00D66915" w:rsidRDefault="00D66915" w:rsidP="0070730E">
      <w:pPr>
        <w:spacing w:after="0"/>
        <w:textAlignment w:val="baseline"/>
        <w:rPr>
          <w:b/>
          <w:bCs/>
        </w:rPr>
      </w:pPr>
    </w:p>
    <w:p w14:paraId="0610A2C5" w14:textId="77777777" w:rsidR="00D66915" w:rsidRDefault="00D66915" w:rsidP="0070730E">
      <w:pPr>
        <w:spacing w:after="0"/>
        <w:textAlignment w:val="baseline"/>
        <w:rPr>
          <w:b/>
          <w:bCs/>
        </w:rPr>
      </w:pPr>
    </w:p>
    <w:p w14:paraId="2522CE94" w14:textId="77777777" w:rsidR="00D66915" w:rsidRDefault="00D66915" w:rsidP="0070730E">
      <w:pPr>
        <w:spacing w:after="0"/>
        <w:textAlignment w:val="baseline"/>
        <w:rPr>
          <w:b/>
          <w:bCs/>
        </w:rPr>
      </w:pPr>
    </w:p>
    <w:p w14:paraId="31B9A9E0" w14:textId="77777777" w:rsidR="00D66915" w:rsidRDefault="00D66915" w:rsidP="0070730E">
      <w:pPr>
        <w:spacing w:after="0"/>
        <w:textAlignment w:val="baseline"/>
        <w:rPr>
          <w:b/>
          <w:bCs/>
        </w:rPr>
      </w:pPr>
    </w:p>
    <w:p w14:paraId="2675D403" w14:textId="66B7FA62" w:rsidR="00D66915" w:rsidRDefault="00D66915"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b/>
          <w:bCs/>
        </w:rPr>
      </w:pPr>
      <w:bookmarkStart w:id="0" w:name="NO1"/>
      <w:r>
        <w:rPr>
          <w:b/>
          <w:bCs/>
        </w:rPr>
        <w:t>1.</w:t>
      </w:r>
      <w:r w:rsidRPr="00D66915">
        <w:rPr>
          <w:b/>
          <w:bCs/>
        </w:rPr>
        <w:t>LMC/GPC UPDATE FOR ALL GPs AND PMs</w:t>
      </w:r>
      <w:bookmarkEnd w:id="0"/>
    </w:p>
    <w:p w14:paraId="0C6279BE" w14:textId="77777777" w:rsidR="00D66915" w:rsidRPr="00D66915" w:rsidRDefault="00D66915"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b/>
          <w:bCs/>
        </w:rPr>
      </w:pPr>
    </w:p>
    <w:p w14:paraId="115347A4" w14:textId="77777777" w:rsidR="00D66915" w:rsidRPr="00D66915" w:rsidRDefault="00D66915"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r w:rsidRPr="00D66915">
        <w:t xml:space="preserve">Please find attached latest update from the GPC for your information.  </w:t>
      </w:r>
    </w:p>
    <w:p w14:paraId="11EE84B3" w14:textId="77777777" w:rsidR="00D66915" w:rsidRDefault="00D66915" w:rsidP="0070730E">
      <w:pPr>
        <w:spacing w:after="0"/>
        <w:textAlignment w:val="baseline"/>
        <w:rPr>
          <w:b/>
          <w:bCs/>
        </w:rPr>
      </w:pPr>
    </w:p>
    <w:p w14:paraId="7F1F0CC3" w14:textId="77777777" w:rsidR="00D66915" w:rsidRDefault="00D66915" w:rsidP="0070730E">
      <w:pPr>
        <w:spacing w:after="0"/>
        <w:textAlignment w:val="baseline"/>
        <w:rPr>
          <w:b/>
          <w:bCs/>
        </w:rPr>
      </w:pPr>
    </w:p>
    <w:p w14:paraId="6E50EA92" w14:textId="77777777" w:rsidR="00D66915" w:rsidRDefault="00D66915" w:rsidP="0070730E">
      <w:pPr>
        <w:spacing w:after="0"/>
        <w:textAlignment w:val="baseline"/>
        <w:rPr>
          <w:b/>
          <w:bCs/>
        </w:rPr>
      </w:pPr>
    </w:p>
    <w:p w14:paraId="1F33DF9B" w14:textId="77777777" w:rsidR="00336C38" w:rsidRDefault="00336C38" w:rsidP="0070730E">
      <w:pPr>
        <w:spacing w:after="0"/>
        <w:textAlignment w:val="baseline"/>
        <w:rPr>
          <w:b/>
          <w:bCs/>
        </w:rPr>
      </w:pPr>
    </w:p>
    <w:p w14:paraId="3818FB89" w14:textId="77777777" w:rsidR="00D66915" w:rsidRDefault="00D66915" w:rsidP="0070730E">
      <w:pPr>
        <w:spacing w:after="0"/>
        <w:textAlignment w:val="baseline"/>
        <w:rPr>
          <w:b/>
          <w:bCs/>
        </w:rPr>
      </w:pPr>
    </w:p>
    <w:p w14:paraId="2C7F8361" w14:textId="77777777" w:rsidR="00D66915" w:rsidRDefault="00D66915" w:rsidP="0070730E">
      <w:pPr>
        <w:spacing w:after="0"/>
        <w:textAlignment w:val="baseline"/>
        <w:rPr>
          <w:b/>
          <w:bCs/>
        </w:rPr>
      </w:pPr>
    </w:p>
    <w:p w14:paraId="275C7AFF" w14:textId="31769003" w:rsidR="00397193" w:rsidRDefault="00D66915"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bookmarkStart w:id="1" w:name="NO2"/>
      <w:r>
        <w:rPr>
          <w:b/>
          <w:bCs/>
        </w:rPr>
        <w:t>2</w:t>
      </w:r>
      <w:r w:rsidR="008B02BE">
        <w:rPr>
          <w:b/>
          <w:bCs/>
        </w:rPr>
        <w:t>.</w:t>
      </w:r>
      <w:r w:rsidR="008B02BE" w:rsidRPr="008B02BE">
        <w:rPr>
          <w:b/>
          <w:bCs/>
        </w:rPr>
        <w:t>General Practice Staff Survey</w:t>
      </w:r>
      <w:bookmarkEnd w:id="1"/>
      <w:r w:rsidR="008B02BE" w:rsidRPr="008B02BE">
        <w:br/>
      </w:r>
      <w:r w:rsidR="008B02BE" w:rsidRPr="008B02BE">
        <w:br/>
        <w:t>2024 sees the second year of voluntary national roll-out of the General Practice Staff Survey (GPSS). A further 12 Integrated Care Boards (ICBs) are participating this year, so practices and PCNs across 33 systems could choose to take part. This survey has the potential to support improvements in staff experience and engagement and therefore increase retention and improve organisational and patient outcomes. For participating organisations, fieldwork will start 7 October and run until 29 November. Anonymised results will be shared directly with participating organisations in Spring 2025.</w:t>
      </w:r>
      <w:r w:rsidR="008B02BE" w:rsidRPr="008B02BE">
        <w:br/>
      </w:r>
      <w:r w:rsidR="008B02BE" w:rsidRPr="008B02BE">
        <w:br/>
        <w:t xml:space="preserve">Any questions please contact: </w:t>
      </w:r>
      <w:hyperlink r:id="rId11" w:history="1">
        <w:r w:rsidR="008B02BE" w:rsidRPr="008B02BE">
          <w:rPr>
            <w:rStyle w:val="Hyperlink"/>
          </w:rPr>
          <w:t>england.staffsurveyengagement@nhs.net</w:t>
        </w:r>
      </w:hyperlink>
      <w:r w:rsidR="008B02BE" w:rsidRPr="008B02BE">
        <w:t>.  </w:t>
      </w:r>
    </w:p>
    <w:p w14:paraId="417AF95E" w14:textId="77777777" w:rsidR="00397193" w:rsidRDefault="00397193" w:rsidP="0070730E">
      <w:pPr>
        <w:spacing w:after="0"/>
        <w:textAlignment w:val="baseline"/>
      </w:pPr>
    </w:p>
    <w:p w14:paraId="5A5E3023" w14:textId="77777777" w:rsidR="00397193" w:rsidRDefault="00397193" w:rsidP="0070730E">
      <w:pPr>
        <w:spacing w:after="0"/>
        <w:textAlignment w:val="baseline"/>
      </w:pPr>
    </w:p>
    <w:p w14:paraId="0ED06DBD" w14:textId="73FB154B" w:rsidR="008B02BE" w:rsidRPr="008B02BE" w:rsidRDefault="00D66915"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bookmarkStart w:id="2" w:name="NO3"/>
      <w:r>
        <w:rPr>
          <w:b/>
          <w:bCs/>
        </w:rPr>
        <w:t>3</w:t>
      </w:r>
      <w:r w:rsidR="008B02BE">
        <w:rPr>
          <w:b/>
          <w:bCs/>
        </w:rPr>
        <w:t>.</w:t>
      </w:r>
      <w:r w:rsidR="008B02BE" w:rsidRPr="008B02BE">
        <w:rPr>
          <w:b/>
          <w:bCs/>
        </w:rPr>
        <w:t>Update on contract changes and implementation of funding</w:t>
      </w:r>
      <w:bookmarkEnd w:id="2"/>
      <w:r w:rsidR="008B02BE" w:rsidRPr="008B02BE">
        <w:br/>
      </w:r>
      <w:r w:rsidR="008B02BE" w:rsidRPr="008B02BE">
        <w:br/>
        <w:t xml:space="preserve">Global sum has been uplifted to £112.50 per weighted patient to implement the 24/25 6% Doctors’ and Dentists’ Remuneration Board (DDRB) uplift. Locum reimbursement rates were also increased (see 24/25 </w:t>
      </w:r>
      <w:hyperlink r:id="rId12" w:history="1">
        <w:r w:rsidR="008B02BE" w:rsidRPr="008B02BE">
          <w:rPr>
            <w:rStyle w:val="Hyperlink"/>
          </w:rPr>
          <w:t>SFE updates</w:t>
        </w:r>
      </w:hyperlink>
      <w:r w:rsidR="008B02BE" w:rsidRPr="008B02BE">
        <w:t>), along with the pay elements of workforce-related transformational funding, details of which will follow.</w:t>
      </w:r>
    </w:p>
    <w:p w14:paraId="6D0EA248" w14:textId="77777777" w:rsidR="008B02BE" w:rsidRPr="008B02BE" w:rsidRDefault="008B02BE"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r w:rsidRPr="008B02BE">
        <w:t xml:space="preserve">From 1 October, newly qualified GPs can be recruited as part of the additional roles reimbursement scheme (ARRS). Primary Care Networks can request the necessary funding as outlined in the </w:t>
      </w:r>
      <w:hyperlink r:id="rId13" w:history="1">
        <w:r w:rsidRPr="008B02BE">
          <w:rPr>
            <w:rStyle w:val="Hyperlink"/>
          </w:rPr>
          <w:t>updated PCN Contract DES</w:t>
        </w:r>
      </w:hyperlink>
      <w:r w:rsidRPr="008B02BE">
        <w:t>. Three other PCN funding streams have been increased to reflect the 6% DDRB uplift: core PCN support, the Care Home Premium Service and the Enhanced Access Service.  </w:t>
      </w:r>
    </w:p>
    <w:p w14:paraId="65748DF4" w14:textId="77777777" w:rsidR="008B02BE" w:rsidRPr="008B02BE" w:rsidRDefault="008B02BE"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r w:rsidRPr="008B02BE">
        <w:t>The maximum reimbursement rates for existing (non-GP) ARRS staff have been uplifted with effect from 1 October to align with Agenda for Change pay scale uplifts.</w:t>
      </w:r>
    </w:p>
    <w:p w14:paraId="7029846A" w14:textId="5AC4324A" w:rsidR="00397193" w:rsidRDefault="008B02BE"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r w:rsidRPr="008B02BE">
        <w:t xml:space="preserve">NHS England’s letter to general practice teams on </w:t>
      </w:r>
      <w:hyperlink r:id="rId14" w:history="1">
        <w:r w:rsidRPr="008B02BE">
          <w:rPr>
            <w:rStyle w:val="Hyperlink"/>
          </w:rPr>
          <w:t>2 August</w:t>
        </w:r>
      </w:hyperlink>
      <w:r w:rsidRPr="008B02BE">
        <w:t xml:space="preserve"> provides further background on the</w:t>
      </w:r>
      <w:r w:rsidRPr="008B02BE">
        <w:rPr>
          <w:i/>
          <w:iCs/>
        </w:rPr>
        <w:t xml:space="preserve"> </w:t>
      </w:r>
      <w:r w:rsidRPr="008B02BE">
        <w:t>funding and contract changes.</w:t>
      </w:r>
    </w:p>
    <w:p w14:paraId="50EFF0C0" w14:textId="77777777" w:rsidR="00397193" w:rsidRDefault="00397193" w:rsidP="0070730E">
      <w:pPr>
        <w:spacing w:after="0"/>
        <w:textAlignment w:val="baseline"/>
      </w:pPr>
    </w:p>
    <w:p w14:paraId="69F0A8AF" w14:textId="77777777" w:rsidR="00397193" w:rsidRDefault="00397193" w:rsidP="0070730E">
      <w:pPr>
        <w:spacing w:after="0"/>
        <w:textAlignment w:val="baseline"/>
      </w:pPr>
    </w:p>
    <w:p w14:paraId="7205A12E" w14:textId="57E3DC0A" w:rsidR="0076045B" w:rsidRDefault="00D66915"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b/>
          <w:bCs/>
        </w:rPr>
      </w:pPr>
      <w:bookmarkStart w:id="3" w:name="NO4"/>
      <w:r>
        <w:rPr>
          <w:b/>
          <w:bCs/>
        </w:rPr>
        <w:t>4</w:t>
      </w:r>
      <w:r w:rsidR="0076045B">
        <w:rPr>
          <w:b/>
          <w:bCs/>
        </w:rPr>
        <w:t>.</w:t>
      </w:r>
      <w:r w:rsidR="0076045B" w:rsidRPr="0076045B">
        <w:rPr>
          <w:b/>
          <w:bCs/>
        </w:rPr>
        <w:t>New: Reminder to remove smartcard access for users who have left</w:t>
      </w:r>
    </w:p>
    <w:bookmarkEnd w:id="3"/>
    <w:p w14:paraId="7D0D1EC3" w14:textId="5CF9B0EF" w:rsidR="00397193" w:rsidRDefault="0076045B"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r w:rsidRPr="0076045B">
        <w:br/>
        <w:t xml:space="preserve">We have been made aware some users who have left their surgery organisations still have access to their surgery clinical applications (EMIS Web and/or </w:t>
      </w:r>
      <w:proofErr w:type="spellStart"/>
      <w:r w:rsidRPr="0076045B">
        <w:t>SystmOne</w:t>
      </w:r>
      <w:proofErr w:type="spellEnd"/>
      <w:r w:rsidRPr="0076045B">
        <w:t xml:space="preserve">) via their smartcards. This may be due to the practice archiving or removing their access from the clinical systems but not their smartcards. Please see a </w:t>
      </w:r>
      <w:hyperlink r:id="rId15" w:tgtFrame="_blank" w:history="1">
        <w:r w:rsidRPr="0076045B">
          <w:rPr>
            <w:rStyle w:val="Hyperlink"/>
          </w:rPr>
          <w:t>guide here</w:t>
        </w:r>
      </w:hyperlink>
      <w:r w:rsidRPr="0076045B">
        <w:t xml:space="preserve"> detailing how to remove smartcard access from users who have left surgeries. Completing this cleanse will identify any users with unnecessary access, reducing information governance risks. For any questions or queries, please contact </w:t>
      </w:r>
      <w:hyperlink r:id="rId16" w:tgtFrame="_blank" w:history="1">
        <w:r w:rsidRPr="0076045B">
          <w:rPr>
            <w:rStyle w:val="Hyperlink"/>
          </w:rPr>
          <w:t>Tayla Gibbs</w:t>
        </w:r>
      </w:hyperlink>
      <w:r w:rsidRPr="0076045B">
        <w:t>, Clinical Systems Officer.</w:t>
      </w:r>
    </w:p>
    <w:p w14:paraId="7F3C5015" w14:textId="77777777" w:rsidR="00397193" w:rsidRDefault="00397193" w:rsidP="0070730E">
      <w:pPr>
        <w:spacing w:after="0"/>
        <w:textAlignment w:val="baseline"/>
      </w:pPr>
    </w:p>
    <w:p w14:paraId="6FB7235E" w14:textId="77777777" w:rsidR="00397193" w:rsidRDefault="00397193" w:rsidP="0070730E">
      <w:pPr>
        <w:spacing w:after="0"/>
        <w:textAlignment w:val="baseline"/>
      </w:pPr>
    </w:p>
    <w:p w14:paraId="0274E068" w14:textId="77777777" w:rsidR="00397193" w:rsidRDefault="00397193" w:rsidP="0070730E">
      <w:pPr>
        <w:spacing w:after="0"/>
        <w:textAlignment w:val="baseline"/>
      </w:pPr>
    </w:p>
    <w:p w14:paraId="6804B037" w14:textId="77777777" w:rsidR="00397193" w:rsidRDefault="00397193" w:rsidP="0070730E">
      <w:pPr>
        <w:spacing w:after="0"/>
        <w:textAlignment w:val="baseline"/>
      </w:pPr>
    </w:p>
    <w:p w14:paraId="05876D56" w14:textId="77777777" w:rsidR="00397193" w:rsidRDefault="00397193" w:rsidP="0070730E">
      <w:pPr>
        <w:spacing w:after="0"/>
        <w:textAlignment w:val="baseline"/>
      </w:pPr>
    </w:p>
    <w:p w14:paraId="6A2568F6" w14:textId="33CA249D" w:rsidR="00AC1F0E" w:rsidRPr="00AC1F0E" w:rsidRDefault="00AC1F0E"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b/>
          <w:bCs/>
        </w:rPr>
      </w:pPr>
      <w:bookmarkStart w:id="4" w:name="NO5"/>
      <w:r>
        <w:rPr>
          <w:b/>
          <w:bCs/>
        </w:rPr>
        <w:t>5.</w:t>
      </w:r>
      <w:r w:rsidRPr="00AC1F0E">
        <w:rPr>
          <w:b/>
          <w:bCs/>
        </w:rPr>
        <w:t>Pathway action cards for primary care - mpox</w:t>
      </w:r>
      <w:bookmarkEnd w:id="4"/>
      <w:r w:rsidRPr="00AC1F0E">
        <w:br/>
      </w:r>
      <w:r w:rsidRPr="00AC1F0E">
        <w:br/>
        <w:t xml:space="preserve">NHS England has published mpox pathway action cards for </w:t>
      </w:r>
      <w:hyperlink r:id="rId17" w:history="1">
        <w:r w:rsidRPr="00AC1F0E">
          <w:rPr>
            <w:rStyle w:val="Hyperlink"/>
          </w:rPr>
          <w:t>patients self-presenting in general practice</w:t>
        </w:r>
      </w:hyperlink>
      <w:r w:rsidRPr="00AC1F0E">
        <w:t xml:space="preserve">. It sets out the actions to take when patients present to primary care and are identified as at risk of possible mpox. Further guidance, including updated infection control guidance is available on the </w:t>
      </w:r>
      <w:hyperlink r:id="rId18" w:history="1">
        <w:r w:rsidRPr="00AC1F0E">
          <w:rPr>
            <w:rStyle w:val="Hyperlink"/>
          </w:rPr>
          <w:t>NHS England website.</w:t>
        </w:r>
      </w:hyperlink>
    </w:p>
    <w:p w14:paraId="6382EEAA" w14:textId="77777777" w:rsidR="00397193" w:rsidRDefault="00397193" w:rsidP="0070730E">
      <w:pPr>
        <w:spacing w:after="0"/>
        <w:textAlignment w:val="baseline"/>
      </w:pPr>
    </w:p>
    <w:p w14:paraId="0723D5E7" w14:textId="77777777" w:rsidR="00397193" w:rsidRDefault="00397193" w:rsidP="0070730E">
      <w:pPr>
        <w:spacing w:after="0"/>
        <w:textAlignment w:val="baseline"/>
      </w:pPr>
    </w:p>
    <w:p w14:paraId="7C147A18" w14:textId="6CEB6BCE" w:rsidR="00397193" w:rsidRDefault="00AC1F0E"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bookmarkStart w:id="5" w:name="NO6"/>
      <w:r>
        <w:rPr>
          <w:b/>
          <w:bCs/>
        </w:rPr>
        <w:t>6.</w:t>
      </w:r>
      <w:r w:rsidRPr="00AC1F0E">
        <w:rPr>
          <w:b/>
          <w:bCs/>
        </w:rPr>
        <w:t>RPS and RCGP repeat prescribing toolkit</w:t>
      </w:r>
      <w:bookmarkEnd w:id="5"/>
      <w:r w:rsidRPr="00AC1F0E">
        <w:br/>
      </w:r>
      <w:r w:rsidRPr="00AC1F0E">
        <w:br/>
        <w:t xml:space="preserve">A practical toolkit is now available to help improve the consistency, safety and efficiency of repeat prescribing systems in England. </w:t>
      </w:r>
      <w:hyperlink r:id="rId19" w:history="1">
        <w:r w:rsidRPr="00AC1F0E">
          <w:rPr>
            <w:rStyle w:val="Hyperlink"/>
          </w:rPr>
          <w:t>The Repeat Prescribing Toolkit</w:t>
        </w:r>
      </w:hyperlink>
      <w:r w:rsidRPr="00AC1F0E">
        <w:t>, from the Royal Pharmaceutical Society (RPS) and the Royal College of GPs (RCGP), was commissioned by NHS England following the National Overprescribing Review recommendations.</w:t>
      </w:r>
      <w:r w:rsidRPr="00AC1F0E">
        <w:br/>
      </w:r>
      <w:r w:rsidRPr="00AC1F0E">
        <w:br/>
        <w:t>The toolkit provides a framework that enables GP Practices and Primary Care Networks, working in collaboration with community pharmacies and patients, to streamline workloads, improve patient safety and care, address potential oversupply and reduce medicines waste.</w:t>
      </w:r>
    </w:p>
    <w:p w14:paraId="73B9F669" w14:textId="77777777" w:rsidR="00397193" w:rsidRDefault="00397193" w:rsidP="0070730E">
      <w:pPr>
        <w:spacing w:after="0"/>
        <w:textAlignment w:val="baseline"/>
      </w:pPr>
    </w:p>
    <w:p w14:paraId="69E1BC5A" w14:textId="77777777" w:rsidR="00397193" w:rsidRDefault="00397193" w:rsidP="0070730E">
      <w:pPr>
        <w:spacing w:after="0"/>
        <w:textAlignment w:val="baseline"/>
      </w:pPr>
      <w:bookmarkStart w:id="6" w:name="NO7"/>
    </w:p>
    <w:p w14:paraId="29ABAD59" w14:textId="493D79AE" w:rsidR="00AC1F0E" w:rsidRPr="00AC1F0E" w:rsidRDefault="00AC1F0E"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r>
        <w:rPr>
          <w:b/>
          <w:bCs/>
        </w:rPr>
        <w:t>7.</w:t>
      </w:r>
      <w:r w:rsidRPr="00AC1F0E">
        <w:rPr>
          <w:b/>
          <w:bCs/>
        </w:rPr>
        <w:t>Adoption of the national Freedom to Speak Up (FTSU) policy and access to a Guardian for primary care workers</w:t>
      </w:r>
      <w:bookmarkEnd w:id="6"/>
      <w:r w:rsidRPr="00AC1F0E">
        <w:br/>
      </w:r>
      <w:r w:rsidRPr="00AC1F0E">
        <w:br/>
        <w:t>Sir Andrew Morris, Deputy Chair NHS England, </w:t>
      </w:r>
      <w:hyperlink r:id="rId20" w:history="1">
        <w:r w:rsidRPr="00AC1F0E">
          <w:rPr>
            <w:rStyle w:val="Hyperlink"/>
          </w:rPr>
          <w:t>has written a letter to all ICB chairs and chief executives</w:t>
        </w:r>
      </w:hyperlink>
      <w:r w:rsidRPr="00AC1F0E">
        <w:t xml:space="preserve"> setting out the expectations of the Freedom To Speak Up (FTSU) arrangements for all staff, including the adoption of the national Freedom to Speak Up policy and ensuring primary care workers have access to a FTSU Guardian.</w:t>
      </w:r>
    </w:p>
    <w:p w14:paraId="3A2604AD" w14:textId="77777777" w:rsidR="00AC1F0E" w:rsidRPr="00AC1F0E" w:rsidRDefault="00AC1F0E" w:rsidP="00E96DF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pPr>
      <w:r w:rsidRPr="00AC1F0E">
        <w:t xml:space="preserve">Raising awareness of speaking up is important as it will create a culture where people feel safe to raise concerns, which is invaluable to the efforts to continually improve services and make the NHS a safer place. Further resources including guidance, tools and case studies can be found at </w:t>
      </w:r>
      <w:hyperlink r:id="rId21" w:history="1">
        <w:r w:rsidRPr="00AC1F0E">
          <w:rPr>
            <w:rStyle w:val="Hyperlink"/>
          </w:rPr>
          <w:t>NHS England » Freedom to Speak Up</w:t>
        </w:r>
      </w:hyperlink>
      <w:r w:rsidRPr="00AC1F0E">
        <w:t>.</w:t>
      </w:r>
    </w:p>
    <w:p w14:paraId="6B84C7AC" w14:textId="77777777" w:rsidR="00397193" w:rsidRDefault="00397193" w:rsidP="0070730E">
      <w:pPr>
        <w:spacing w:after="0"/>
        <w:textAlignment w:val="baseline"/>
      </w:pPr>
    </w:p>
    <w:p w14:paraId="0E3B6D32" w14:textId="77777777" w:rsidR="00397193" w:rsidRPr="0070730E" w:rsidRDefault="00397193" w:rsidP="0070730E">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FE29796" w14:textId="77777777" w:rsidR="001E06C2" w:rsidRDefault="001E06C2" w:rsidP="006F55EB">
      <w:pPr>
        <w:rPr>
          <w:b/>
          <w:bCs/>
          <w:color w:val="FF0000"/>
        </w:rPr>
      </w:pPr>
    </w:p>
    <w:p w14:paraId="2568055A" w14:textId="77777777" w:rsidR="00336C38" w:rsidRDefault="00336C38" w:rsidP="006F55EB">
      <w:pPr>
        <w:rPr>
          <w:b/>
          <w:bCs/>
          <w:color w:val="FF0000"/>
        </w:rPr>
      </w:pPr>
    </w:p>
    <w:p w14:paraId="3F2D22F6" w14:textId="77777777" w:rsidR="00336C38" w:rsidRDefault="00336C38" w:rsidP="006F55EB">
      <w:pPr>
        <w:rPr>
          <w:b/>
          <w:bCs/>
          <w:color w:val="FF0000"/>
        </w:rPr>
      </w:pP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sectPr w:rsidR="00D14BAB" w:rsidSect="00A40293">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BFE8E" w14:textId="77777777" w:rsidR="00D134DC" w:rsidRDefault="00D134DC" w:rsidP="001B4E81">
      <w:pPr>
        <w:spacing w:after="0" w:line="240" w:lineRule="auto"/>
      </w:pPr>
      <w:r>
        <w:separator/>
      </w:r>
    </w:p>
  </w:endnote>
  <w:endnote w:type="continuationSeparator" w:id="0">
    <w:p w14:paraId="4565F9F5" w14:textId="77777777" w:rsidR="00D134DC" w:rsidRDefault="00D134DC" w:rsidP="001B4E81">
      <w:pPr>
        <w:spacing w:after="0" w:line="240" w:lineRule="auto"/>
      </w:pPr>
      <w:r>
        <w:continuationSeparator/>
      </w:r>
    </w:p>
  </w:endnote>
  <w:endnote w:type="continuationNotice" w:id="1">
    <w:p w14:paraId="63434ED9" w14:textId="77777777" w:rsidR="00D134DC" w:rsidRDefault="00D13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9DD36" w14:textId="77777777" w:rsidR="00D134DC" w:rsidRDefault="00D134DC" w:rsidP="001B4E81">
      <w:pPr>
        <w:spacing w:after="0" w:line="240" w:lineRule="auto"/>
      </w:pPr>
      <w:r>
        <w:separator/>
      </w:r>
    </w:p>
  </w:footnote>
  <w:footnote w:type="continuationSeparator" w:id="0">
    <w:p w14:paraId="031CC019" w14:textId="77777777" w:rsidR="00D134DC" w:rsidRDefault="00D134DC" w:rsidP="001B4E81">
      <w:pPr>
        <w:spacing w:after="0" w:line="240" w:lineRule="auto"/>
      </w:pPr>
      <w:r>
        <w:continuationSeparator/>
      </w:r>
    </w:p>
  </w:footnote>
  <w:footnote w:type="continuationNotice" w:id="1">
    <w:p w14:paraId="49A888A9" w14:textId="77777777" w:rsidR="00D134DC" w:rsidRDefault="00D134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60"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67"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70"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3"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61"/>
  </w:num>
  <w:num w:numId="2" w16cid:durableId="1787625626">
    <w:abstractNumId w:val="44"/>
  </w:num>
  <w:num w:numId="3" w16cid:durableId="1540629576">
    <w:abstractNumId w:val="34"/>
  </w:num>
  <w:num w:numId="4" w16cid:durableId="391077826">
    <w:abstractNumId w:val="36"/>
  </w:num>
  <w:num w:numId="5" w16cid:durableId="1341853404">
    <w:abstractNumId w:val="62"/>
  </w:num>
  <w:num w:numId="6" w16cid:durableId="767585139">
    <w:abstractNumId w:val="59"/>
  </w:num>
  <w:num w:numId="7" w16cid:durableId="2041667077">
    <w:abstractNumId w:val="13"/>
  </w:num>
  <w:num w:numId="8" w16cid:durableId="1515000037">
    <w:abstractNumId w:val="16"/>
  </w:num>
  <w:num w:numId="9" w16cid:durableId="872035998">
    <w:abstractNumId w:val="57"/>
  </w:num>
  <w:num w:numId="10" w16cid:durableId="1416436257">
    <w:abstractNumId w:val="13"/>
  </w:num>
  <w:num w:numId="11" w16cid:durableId="808744928">
    <w:abstractNumId w:val="20"/>
  </w:num>
  <w:num w:numId="12" w16cid:durableId="1915429240">
    <w:abstractNumId w:val="21"/>
  </w:num>
  <w:num w:numId="13" w16cid:durableId="1064135678">
    <w:abstractNumId w:val="81"/>
  </w:num>
  <w:num w:numId="14" w16cid:durableId="1438673690">
    <w:abstractNumId w:val="50"/>
  </w:num>
  <w:num w:numId="15" w16cid:durableId="13108668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9"/>
  </w:num>
  <w:num w:numId="17" w16cid:durableId="199755223">
    <w:abstractNumId w:val="38"/>
  </w:num>
  <w:num w:numId="18" w16cid:durableId="217059276">
    <w:abstractNumId w:val="25"/>
  </w:num>
  <w:num w:numId="19" w16cid:durableId="61373668">
    <w:abstractNumId w:val="24"/>
  </w:num>
  <w:num w:numId="20" w16cid:durableId="1882671202">
    <w:abstractNumId w:val="35"/>
  </w:num>
  <w:num w:numId="21" w16cid:durableId="1817532173">
    <w:abstractNumId w:val="31"/>
  </w:num>
  <w:num w:numId="22" w16cid:durableId="137655963">
    <w:abstractNumId w:val="80"/>
  </w:num>
  <w:num w:numId="23" w16cid:durableId="1401640374">
    <w:abstractNumId w:val="49"/>
  </w:num>
  <w:num w:numId="24" w16cid:durableId="1580678170">
    <w:abstractNumId w:val="78"/>
  </w:num>
  <w:num w:numId="25" w16cid:durableId="1695958751">
    <w:abstractNumId w:val="15"/>
  </w:num>
  <w:num w:numId="26" w16cid:durableId="4662469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2"/>
  </w:num>
  <w:num w:numId="28" w16cid:durableId="1404527918">
    <w:abstractNumId w:val="19"/>
  </w:num>
  <w:num w:numId="29" w16cid:durableId="1478451548">
    <w:abstractNumId w:val="54"/>
  </w:num>
  <w:num w:numId="30" w16cid:durableId="1055156669">
    <w:abstractNumId w:val="55"/>
  </w:num>
  <w:num w:numId="31" w16cid:durableId="1425298004">
    <w:abstractNumId w:val="33"/>
  </w:num>
  <w:num w:numId="32" w16cid:durableId="165443091">
    <w:abstractNumId w:val="74"/>
  </w:num>
  <w:num w:numId="33" w16cid:durableId="1729301968">
    <w:abstractNumId w:val="27"/>
  </w:num>
  <w:num w:numId="34" w16cid:durableId="1719234154">
    <w:abstractNumId w:val="37"/>
  </w:num>
  <w:num w:numId="35" w16cid:durableId="1182353712">
    <w:abstractNumId w:val="66"/>
  </w:num>
  <w:num w:numId="36" w16cid:durableId="215774871">
    <w:abstractNumId w:val="41"/>
  </w:num>
  <w:num w:numId="37" w16cid:durableId="11581096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48"/>
  </w:num>
  <w:num w:numId="39" w16cid:durableId="1107191438">
    <w:abstractNumId w:val="14"/>
  </w:num>
  <w:num w:numId="40" w16cid:durableId="9091939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51"/>
  </w:num>
  <w:num w:numId="46" w16cid:durableId="1190991610">
    <w:abstractNumId w:val="22"/>
  </w:num>
  <w:num w:numId="47" w16cid:durableId="107241670">
    <w:abstractNumId w:val="77"/>
  </w:num>
  <w:num w:numId="48" w16cid:durableId="1845972573">
    <w:abstractNumId w:val="85"/>
  </w:num>
  <w:num w:numId="49" w16cid:durableId="257447362">
    <w:abstractNumId w:val="75"/>
  </w:num>
  <w:num w:numId="50" w16cid:durableId="1163740367">
    <w:abstractNumId w:val="5"/>
  </w:num>
  <w:num w:numId="51" w16cid:durableId="1731033538">
    <w:abstractNumId w:val="60"/>
  </w:num>
  <w:num w:numId="52" w16cid:durableId="260794314">
    <w:abstractNumId w:val="6"/>
  </w:num>
  <w:num w:numId="53" w16cid:durableId="550267285">
    <w:abstractNumId w:val="42"/>
  </w:num>
  <w:num w:numId="54" w16cid:durableId="1441409181">
    <w:abstractNumId w:val="23"/>
  </w:num>
  <w:num w:numId="55" w16cid:durableId="2046979869">
    <w:abstractNumId w:val="8"/>
  </w:num>
  <w:num w:numId="56" w16cid:durableId="1848131498">
    <w:abstractNumId w:val="18"/>
  </w:num>
  <w:num w:numId="57" w16cid:durableId="222982892">
    <w:abstractNumId w:val="32"/>
  </w:num>
  <w:num w:numId="58" w16cid:durableId="1257789084">
    <w:abstractNumId w:val="71"/>
  </w:num>
  <w:num w:numId="59" w16cid:durableId="2023433351">
    <w:abstractNumId w:val="3"/>
  </w:num>
  <w:num w:numId="60" w16cid:durableId="1233393240">
    <w:abstractNumId w:val="28"/>
  </w:num>
  <w:num w:numId="61" w16cid:durableId="355810597">
    <w:abstractNumId w:val="68"/>
  </w:num>
  <w:num w:numId="62" w16cid:durableId="1428696261">
    <w:abstractNumId w:val="26"/>
  </w:num>
  <w:num w:numId="63" w16cid:durableId="1085541508">
    <w:abstractNumId w:val="2"/>
  </w:num>
  <w:num w:numId="64" w16cid:durableId="82922419">
    <w:abstractNumId w:val="11"/>
  </w:num>
  <w:num w:numId="65" w16cid:durableId="1224633004">
    <w:abstractNumId w:val="63"/>
  </w:num>
  <w:num w:numId="66" w16cid:durableId="1604414774">
    <w:abstractNumId w:val="82"/>
  </w:num>
  <w:num w:numId="67" w16cid:durableId="1182088593">
    <w:abstractNumId w:val="47"/>
  </w:num>
  <w:num w:numId="68" w16cid:durableId="495415082">
    <w:abstractNumId w:val="70"/>
  </w:num>
  <w:num w:numId="69" w16cid:durableId="2015719250">
    <w:abstractNumId w:val="83"/>
  </w:num>
  <w:num w:numId="70" w16cid:durableId="2126192390">
    <w:abstractNumId w:val="79"/>
  </w:num>
  <w:num w:numId="71" w16cid:durableId="1602495497">
    <w:abstractNumId w:val="7"/>
  </w:num>
  <w:num w:numId="72" w16cid:durableId="2127771182">
    <w:abstractNumId w:val="40"/>
  </w:num>
  <w:num w:numId="73" w16cid:durableId="1863396066">
    <w:abstractNumId w:val="67"/>
  </w:num>
  <w:num w:numId="74" w16cid:durableId="26101823">
    <w:abstractNumId w:val="39"/>
  </w:num>
  <w:num w:numId="75" w16cid:durableId="865212412">
    <w:abstractNumId w:val="43"/>
  </w:num>
  <w:num w:numId="76" w16cid:durableId="1637105321">
    <w:abstractNumId w:val="4"/>
  </w:num>
  <w:num w:numId="77" w16cid:durableId="624392270">
    <w:abstractNumId w:val="1"/>
  </w:num>
  <w:num w:numId="78" w16cid:durableId="920675426">
    <w:abstractNumId w:val="84"/>
  </w:num>
  <w:num w:numId="79" w16cid:durableId="1631593107">
    <w:abstractNumId w:val="17"/>
  </w:num>
  <w:num w:numId="80" w16cid:durableId="675810403">
    <w:abstractNumId w:val="84"/>
  </w:num>
  <w:num w:numId="81" w16cid:durableId="1234971073">
    <w:abstractNumId w:val="45"/>
  </w:num>
  <w:num w:numId="82" w16cid:durableId="1437217206">
    <w:abstractNumId w:val="73"/>
  </w:num>
  <w:num w:numId="83" w16cid:durableId="1475566900">
    <w:abstractNumId w:val="10"/>
  </w:num>
  <w:num w:numId="84" w16cid:durableId="373192872">
    <w:abstractNumId w:val="46"/>
  </w:num>
  <w:num w:numId="85" w16cid:durableId="871572710">
    <w:abstractNumId w:val="69"/>
  </w:num>
  <w:num w:numId="86" w16cid:durableId="1914117384">
    <w:abstractNumId w:val="30"/>
  </w:num>
  <w:num w:numId="87" w16cid:durableId="924344141">
    <w:abstractNumId w:val="58"/>
  </w:num>
  <w:num w:numId="88" w16cid:durableId="1367489771">
    <w:abstractNumId w:val="5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A25"/>
    <w:rsid w:val="00175B1F"/>
    <w:rsid w:val="00176F8C"/>
    <w:rsid w:val="001771E3"/>
    <w:rsid w:val="00177616"/>
    <w:rsid w:val="00177735"/>
    <w:rsid w:val="00177887"/>
    <w:rsid w:val="00177EAB"/>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06C2"/>
    <w:rsid w:val="001E2D99"/>
    <w:rsid w:val="001E3845"/>
    <w:rsid w:val="001E3C51"/>
    <w:rsid w:val="001E45D2"/>
    <w:rsid w:val="001E591B"/>
    <w:rsid w:val="001E764F"/>
    <w:rsid w:val="001F3453"/>
    <w:rsid w:val="001F424B"/>
    <w:rsid w:val="001F50DA"/>
    <w:rsid w:val="001F53C4"/>
    <w:rsid w:val="001F5C20"/>
    <w:rsid w:val="001F64D2"/>
    <w:rsid w:val="00200440"/>
    <w:rsid w:val="00202A69"/>
    <w:rsid w:val="002043E5"/>
    <w:rsid w:val="00204541"/>
    <w:rsid w:val="00204C60"/>
    <w:rsid w:val="002056A8"/>
    <w:rsid w:val="00206248"/>
    <w:rsid w:val="002066D4"/>
    <w:rsid w:val="002074B4"/>
    <w:rsid w:val="00211046"/>
    <w:rsid w:val="0021104A"/>
    <w:rsid w:val="002129D4"/>
    <w:rsid w:val="002144C2"/>
    <w:rsid w:val="00215B61"/>
    <w:rsid w:val="00215BAF"/>
    <w:rsid w:val="00216841"/>
    <w:rsid w:val="00216DBF"/>
    <w:rsid w:val="00223004"/>
    <w:rsid w:val="00223311"/>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B8A"/>
    <w:rsid w:val="002754DC"/>
    <w:rsid w:val="0027622F"/>
    <w:rsid w:val="00276D77"/>
    <w:rsid w:val="002774BF"/>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F4D"/>
    <w:rsid w:val="002B554E"/>
    <w:rsid w:val="002B78B2"/>
    <w:rsid w:val="002B7D9D"/>
    <w:rsid w:val="002C0A6D"/>
    <w:rsid w:val="002C1984"/>
    <w:rsid w:val="002C36DA"/>
    <w:rsid w:val="002C420D"/>
    <w:rsid w:val="002C5602"/>
    <w:rsid w:val="002C63F4"/>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47FB"/>
    <w:rsid w:val="003D7449"/>
    <w:rsid w:val="003E06E6"/>
    <w:rsid w:val="003E1832"/>
    <w:rsid w:val="003E298C"/>
    <w:rsid w:val="003E2F4B"/>
    <w:rsid w:val="003E4A49"/>
    <w:rsid w:val="003E5987"/>
    <w:rsid w:val="003E63F0"/>
    <w:rsid w:val="003E6828"/>
    <w:rsid w:val="003E6CAB"/>
    <w:rsid w:val="003F0558"/>
    <w:rsid w:val="003F0D8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1665"/>
    <w:rsid w:val="004E208E"/>
    <w:rsid w:val="004E2461"/>
    <w:rsid w:val="004E3A87"/>
    <w:rsid w:val="004E4B6C"/>
    <w:rsid w:val="004E5966"/>
    <w:rsid w:val="004E72B2"/>
    <w:rsid w:val="004F07C6"/>
    <w:rsid w:val="004F092A"/>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25F0"/>
    <w:rsid w:val="005C3370"/>
    <w:rsid w:val="005C58CB"/>
    <w:rsid w:val="005C61CB"/>
    <w:rsid w:val="005C76A0"/>
    <w:rsid w:val="005C7FC3"/>
    <w:rsid w:val="005D1ED0"/>
    <w:rsid w:val="005D1F79"/>
    <w:rsid w:val="005D2F4B"/>
    <w:rsid w:val="005D3258"/>
    <w:rsid w:val="005D4F93"/>
    <w:rsid w:val="005D5916"/>
    <w:rsid w:val="005D67FE"/>
    <w:rsid w:val="005D79D8"/>
    <w:rsid w:val="005E0602"/>
    <w:rsid w:val="005E09B2"/>
    <w:rsid w:val="005E0C9D"/>
    <w:rsid w:val="005E0EA4"/>
    <w:rsid w:val="005E5AFA"/>
    <w:rsid w:val="005E5C12"/>
    <w:rsid w:val="005E5E96"/>
    <w:rsid w:val="005E602C"/>
    <w:rsid w:val="005E7607"/>
    <w:rsid w:val="005F3AC2"/>
    <w:rsid w:val="005F4010"/>
    <w:rsid w:val="005F40DE"/>
    <w:rsid w:val="005F498C"/>
    <w:rsid w:val="005F4CBE"/>
    <w:rsid w:val="005F5155"/>
    <w:rsid w:val="005F6A2D"/>
    <w:rsid w:val="005F6DCD"/>
    <w:rsid w:val="006004EA"/>
    <w:rsid w:val="00602044"/>
    <w:rsid w:val="006038A0"/>
    <w:rsid w:val="00605AB7"/>
    <w:rsid w:val="00605E2D"/>
    <w:rsid w:val="00606AF5"/>
    <w:rsid w:val="00610193"/>
    <w:rsid w:val="00610206"/>
    <w:rsid w:val="00610E0D"/>
    <w:rsid w:val="0061116B"/>
    <w:rsid w:val="006120F5"/>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65B1"/>
    <w:rsid w:val="006A76EE"/>
    <w:rsid w:val="006A77FC"/>
    <w:rsid w:val="006B1303"/>
    <w:rsid w:val="006B14CC"/>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E7A5F"/>
    <w:rsid w:val="006E7ED2"/>
    <w:rsid w:val="006F1C6F"/>
    <w:rsid w:val="006F3C7F"/>
    <w:rsid w:val="006F4F5C"/>
    <w:rsid w:val="006F505B"/>
    <w:rsid w:val="006F55EB"/>
    <w:rsid w:val="006F5666"/>
    <w:rsid w:val="006F6813"/>
    <w:rsid w:val="006F696B"/>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45B"/>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C1CC2"/>
    <w:rsid w:val="007C2CD5"/>
    <w:rsid w:val="007C56BF"/>
    <w:rsid w:val="007C6047"/>
    <w:rsid w:val="007C6748"/>
    <w:rsid w:val="007C6C9E"/>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7ABF"/>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6E07"/>
    <w:rsid w:val="00857527"/>
    <w:rsid w:val="0086185C"/>
    <w:rsid w:val="00861B5E"/>
    <w:rsid w:val="00861CA3"/>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E2"/>
    <w:rsid w:val="00A14ED4"/>
    <w:rsid w:val="00A158C3"/>
    <w:rsid w:val="00A15B0B"/>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26549"/>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2DD9"/>
    <w:rsid w:val="00A532B6"/>
    <w:rsid w:val="00A537EE"/>
    <w:rsid w:val="00A53889"/>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CDB"/>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54B"/>
    <w:rsid w:val="00B5660B"/>
    <w:rsid w:val="00B605F6"/>
    <w:rsid w:val="00B702B6"/>
    <w:rsid w:val="00B70ADD"/>
    <w:rsid w:val="00B70CD9"/>
    <w:rsid w:val="00B72A60"/>
    <w:rsid w:val="00B737C7"/>
    <w:rsid w:val="00B73A4B"/>
    <w:rsid w:val="00B745FF"/>
    <w:rsid w:val="00B74D66"/>
    <w:rsid w:val="00B74E57"/>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020"/>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E48"/>
    <w:rsid w:val="00D47764"/>
    <w:rsid w:val="00D4797B"/>
    <w:rsid w:val="00D503D0"/>
    <w:rsid w:val="00D51A45"/>
    <w:rsid w:val="00D52370"/>
    <w:rsid w:val="00D530F6"/>
    <w:rsid w:val="00D5370C"/>
    <w:rsid w:val="00D54DB9"/>
    <w:rsid w:val="00D5526F"/>
    <w:rsid w:val="00D5549E"/>
    <w:rsid w:val="00D55974"/>
    <w:rsid w:val="00D56035"/>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48BC"/>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354C"/>
    <w:rsid w:val="00EE6841"/>
    <w:rsid w:val="00EE6A85"/>
    <w:rsid w:val="00EE6C78"/>
    <w:rsid w:val="00EE7D3F"/>
    <w:rsid w:val="00EF00CB"/>
    <w:rsid w:val="00EF089B"/>
    <w:rsid w:val="00EF1F97"/>
    <w:rsid w:val="00EF2B62"/>
    <w:rsid w:val="00EF31DF"/>
    <w:rsid w:val="00EF3360"/>
    <w:rsid w:val="00EF55D5"/>
    <w:rsid w:val="00EF6594"/>
    <w:rsid w:val="00EF66EA"/>
    <w:rsid w:val="00EF7C4C"/>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euiyuz-tluhhdhyld-n/" TargetMode="External"/><Relationship Id="rId18" Type="http://schemas.openxmlformats.org/officeDocument/2006/relationships/hyperlink" Target="https://primarycarebulletin.cmail20.com/t/d-l-euhuie-tluhhdhyld-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imarycarebulletin.cmail20.com/t/d-l-euhuie-tluhhdhyld-u/" TargetMode="External"/><Relationship Id="rId7" Type="http://schemas.openxmlformats.org/officeDocument/2006/relationships/settings" Target="settings.xml"/><Relationship Id="rId12" Type="http://schemas.openxmlformats.org/officeDocument/2006/relationships/hyperlink" Target="https://primarycarebulletin.cmail20.com/t/d-l-euiyuz-tluhhdhyld-b/" TargetMode="External"/><Relationship Id="rId17" Type="http://schemas.openxmlformats.org/officeDocument/2006/relationships/hyperlink" Target="https://primarycarebulletin.cmail20.com/t/d-l-euhuie-tluhhdhyld-j/"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mailto:tayla.gibbs1@nhs.net" TargetMode="External"/><Relationship Id="rId20" Type="http://schemas.openxmlformats.org/officeDocument/2006/relationships/hyperlink" Target="https://primarycarebulletin.cmail20.com/t/d-l-euhuie-tluhhdhyld-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staffsurveyengagement@nhs.net"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mcusercontent.com/fc496e37a02fff5979483df7e/files/6ff45204-6c22-a357-f160-2ddff58ca75b/Care_Identity_Management_Removing_Users_Guide_BSol_ICB_v1.1.docx"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imarycarebulletin.cmail20.com/t/d-l-euhuie-tluhhdhyl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euiyuz-tluhhdhyld-p/"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2024-10-11T10:57:00Z</dcterms:created>
  <dcterms:modified xsi:type="dcterms:W3CDTF">2024-10-11T10:57:00Z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