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2AA2FB96">
                <wp:simplePos x="0" y="0"/>
                <wp:positionH relativeFrom="margin">
                  <wp:align>left</wp:align>
                </wp:positionH>
                <wp:positionV relativeFrom="paragraph">
                  <wp:posOffset>69215</wp:posOffset>
                </wp:positionV>
                <wp:extent cx="5463540" cy="1120140"/>
                <wp:effectExtent l="0" t="0" r="0" b="381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20140"/>
                        </a:xfrm>
                        <a:prstGeom prst="rect">
                          <a:avLst/>
                        </a:prstGeom>
                        <a:noFill/>
                        <a:ln w="9525">
                          <a:noFill/>
                          <a:miter lim="800000"/>
                          <a:headEnd/>
                          <a:tailEnd/>
                        </a:ln>
                      </wps:spPr>
                      <wps:txbx>
                        <w:txbxContent>
                          <w:p w14:paraId="456C3362" w14:textId="795D3642"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180AB9">
                              <w:rPr>
                                <w:b/>
                                <w:bCs/>
                                <w:i/>
                                <w:iCs/>
                                <w:color w:val="4472C4" w:themeColor="accent1"/>
                                <w:sz w:val="44"/>
                                <w:szCs w:val="44"/>
                              </w:rPr>
                              <w:t>2</w:t>
                            </w:r>
                            <w:r w:rsidR="00F83004">
                              <w:rPr>
                                <w:b/>
                                <w:bCs/>
                                <w:i/>
                                <w:iCs/>
                                <w:color w:val="4472C4" w:themeColor="accent1"/>
                                <w:sz w:val="44"/>
                                <w:szCs w:val="44"/>
                              </w:rPr>
                              <w:t>7</w:t>
                            </w:r>
                            <w:r w:rsidR="00180AB9" w:rsidRPr="00180AB9">
                              <w:rPr>
                                <w:b/>
                                <w:bCs/>
                                <w:i/>
                                <w:iCs/>
                                <w:color w:val="4472C4" w:themeColor="accent1"/>
                                <w:sz w:val="44"/>
                                <w:szCs w:val="44"/>
                                <w:vertAlign w:val="superscript"/>
                              </w:rPr>
                              <w:t>th</w:t>
                            </w:r>
                            <w:r w:rsidR="00DF4084">
                              <w:rPr>
                                <w:b/>
                                <w:bCs/>
                                <w:i/>
                                <w:iCs/>
                                <w:color w:val="4472C4" w:themeColor="accent1"/>
                                <w:sz w:val="44"/>
                                <w:szCs w:val="44"/>
                              </w:rPr>
                              <w:t xml:space="preserve"> of September</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88.2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" filled="f" stroked="f">
                <v:textbox>
                  <w:txbxContent>
                    <w:p w14:paraId="456C3362" w14:textId="795D3642"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180AB9">
                        <w:rPr>
                          <w:b/>
                          <w:bCs/>
                          <w:i/>
                          <w:iCs/>
                          <w:color w:val="4472C4" w:themeColor="accent1"/>
                          <w:sz w:val="44"/>
                          <w:szCs w:val="44"/>
                        </w:rPr>
                        <w:t>2</w:t>
                      </w:r>
                      <w:r w:rsidR="00F83004">
                        <w:rPr>
                          <w:b/>
                          <w:bCs/>
                          <w:i/>
                          <w:iCs/>
                          <w:color w:val="4472C4" w:themeColor="accent1"/>
                          <w:sz w:val="44"/>
                          <w:szCs w:val="44"/>
                        </w:rPr>
                        <w:t>7</w:t>
                      </w:r>
                      <w:r w:rsidR="00180AB9" w:rsidRPr="00180AB9">
                        <w:rPr>
                          <w:b/>
                          <w:bCs/>
                          <w:i/>
                          <w:iCs/>
                          <w:color w:val="4472C4" w:themeColor="accent1"/>
                          <w:sz w:val="44"/>
                          <w:szCs w:val="44"/>
                          <w:vertAlign w:val="superscript"/>
                        </w:rPr>
                        <w:t>th</w:t>
                      </w:r>
                      <w:r w:rsidR="00DF4084">
                        <w:rPr>
                          <w:b/>
                          <w:bCs/>
                          <w:i/>
                          <w:iCs/>
                          <w:color w:val="4472C4" w:themeColor="accent1"/>
                          <w:sz w:val="44"/>
                          <w:szCs w:val="44"/>
                        </w:rPr>
                        <w:t xml:space="preserve"> of September</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3A66C57D" w14:textId="77777777" w:rsidR="00BE5396" w:rsidRPr="0070730E" w:rsidRDefault="00BE5396" w:rsidP="0070730E">
      <w:pPr>
        <w:spacing w:after="0"/>
        <w:textAlignment w:val="baseline"/>
        <w:rPr>
          <w:rFonts w:ascii="Calibri" w:hAnsi="Calibri" w:cs="Calibri"/>
          <w:color w:val="202020"/>
        </w:rPr>
      </w:pPr>
    </w:p>
    <w:p w14:paraId="26A3FEAF" w14:textId="77777777" w:rsidR="00BE5396" w:rsidRPr="00C6549E" w:rsidRDefault="00BE5396" w:rsidP="0070730E">
      <w:pPr>
        <w:spacing w:after="0"/>
        <w:textAlignment w:val="baseline"/>
        <w:rPr>
          <w:rFonts w:ascii="Calibri" w:hAnsi="Calibri" w:cs="Calibri"/>
          <w:b/>
          <w:bCs/>
          <w:color w:val="2F5496" w:themeColor="accent1" w:themeShade="BF"/>
        </w:rPr>
      </w:pPr>
    </w:p>
    <w:p w14:paraId="6747E8DD" w14:textId="12689C90" w:rsidR="00D848BC" w:rsidRPr="00C6549E" w:rsidRDefault="00C6549E" w:rsidP="00D848BC">
      <w:pPr>
        <w:pStyle w:val="ListParagraph"/>
        <w:numPr>
          <w:ilvl w:val="0"/>
          <w:numId w:val="87"/>
        </w:numPr>
        <w:spacing w:after="0"/>
        <w:textAlignment w:val="baseline"/>
        <w:rPr>
          <w:rFonts w:ascii="Calibri" w:hAnsi="Calibri" w:cs="Calibri"/>
          <w:b/>
          <w:bCs/>
          <w:color w:val="2F5496" w:themeColor="accent1" w:themeShade="BF"/>
        </w:rPr>
      </w:pPr>
      <w:hyperlink w:anchor="NO1" w:history="1">
        <w:r w:rsidR="00BC3020" w:rsidRPr="00C6549E">
          <w:rPr>
            <w:rStyle w:val="Hyperlink"/>
            <w:rFonts w:ascii="Calibri" w:hAnsi="Calibri" w:cs="Calibri"/>
            <w:b/>
            <w:bCs/>
            <w:color w:val="2F5496" w:themeColor="accent1" w:themeShade="BF"/>
          </w:rPr>
          <w:t xml:space="preserve">Flu vaccination timings </w:t>
        </w:r>
        <w:r w:rsidR="007F0EF9" w:rsidRPr="00C6549E">
          <w:rPr>
            <w:rStyle w:val="Hyperlink"/>
            <w:rFonts w:ascii="Calibri" w:hAnsi="Calibri" w:cs="Calibri"/>
            <w:b/>
            <w:bCs/>
            <w:color w:val="2F5496" w:themeColor="accent1" w:themeShade="BF"/>
          </w:rPr>
          <w:t>and payments</w:t>
        </w:r>
      </w:hyperlink>
      <w:r w:rsidR="007F0EF9" w:rsidRPr="00C6549E">
        <w:rPr>
          <w:rFonts w:ascii="Calibri" w:hAnsi="Calibri" w:cs="Calibri"/>
          <w:b/>
          <w:bCs/>
          <w:color w:val="2F5496" w:themeColor="accent1" w:themeShade="BF"/>
        </w:rPr>
        <w:t xml:space="preserve"> </w:t>
      </w:r>
    </w:p>
    <w:p w14:paraId="59726739" w14:textId="06CEC679" w:rsidR="007F0EF9" w:rsidRPr="00C6549E" w:rsidRDefault="00C6549E" w:rsidP="00D848BC">
      <w:pPr>
        <w:pStyle w:val="ListParagraph"/>
        <w:numPr>
          <w:ilvl w:val="0"/>
          <w:numId w:val="87"/>
        </w:numPr>
        <w:spacing w:after="0"/>
        <w:textAlignment w:val="baseline"/>
        <w:rPr>
          <w:rFonts w:ascii="Calibri" w:hAnsi="Calibri" w:cs="Calibri"/>
          <w:b/>
          <w:bCs/>
          <w:color w:val="2F5496" w:themeColor="accent1" w:themeShade="BF"/>
        </w:rPr>
      </w:pPr>
      <w:hyperlink w:anchor="NO2" w:history="1">
        <w:r w:rsidR="007F0EF9" w:rsidRPr="00C6549E">
          <w:rPr>
            <w:rStyle w:val="Hyperlink"/>
            <w:rFonts w:ascii="Calibri" w:hAnsi="Calibri" w:cs="Calibri"/>
            <w:b/>
            <w:bCs/>
            <w:color w:val="2F5496" w:themeColor="accent1" w:themeShade="BF"/>
          </w:rPr>
          <w:t xml:space="preserve">Frontline healthcare </w:t>
        </w:r>
        <w:r w:rsidR="00157B5D" w:rsidRPr="00C6549E">
          <w:rPr>
            <w:rStyle w:val="Hyperlink"/>
            <w:rFonts w:ascii="Calibri" w:hAnsi="Calibri" w:cs="Calibri"/>
            <w:b/>
            <w:bCs/>
            <w:color w:val="2F5496" w:themeColor="accent1" w:themeShade="BF"/>
          </w:rPr>
          <w:t>worker winter vaccinations campaign 2024</w:t>
        </w:r>
      </w:hyperlink>
    </w:p>
    <w:p w14:paraId="4D394832" w14:textId="4A5CC941" w:rsidR="00EC3A58" w:rsidRPr="00C6549E" w:rsidRDefault="00C6549E" w:rsidP="00D848BC">
      <w:pPr>
        <w:pStyle w:val="ListParagraph"/>
        <w:numPr>
          <w:ilvl w:val="0"/>
          <w:numId w:val="87"/>
        </w:numPr>
        <w:spacing w:after="0"/>
        <w:textAlignment w:val="baseline"/>
        <w:rPr>
          <w:rFonts w:ascii="Calibri" w:hAnsi="Calibri" w:cs="Calibri"/>
          <w:b/>
          <w:bCs/>
          <w:color w:val="2F5496" w:themeColor="accent1" w:themeShade="BF"/>
        </w:rPr>
      </w:pPr>
      <w:hyperlink w:anchor="NO3" w:history="1">
        <w:r w:rsidR="00EC3A58" w:rsidRPr="00C6549E">
          <w:rPr>
            <w:rStyle w:val="Hyperlink"/>
            <w:rFonts w:ascii="Calibri" w:hAnsi="Calibri" w:cs="Calibri"/>
            <w:b/>
            <w:bCs/>
            <w:color w:val="2F5496" w:themeColor="accent1" w:themeShade="BF"/>
          </w:rPr>
          <w:t>Darzi Review</w:t>
        </w:r>
      </w:hyperlink>
      <w:r w:rsidR="00EC3A58" w:rsidRPr="00C6549E">
        <w:rPr>
          <w:rFonts w:ascii="Calibri" w:hAnsi="Calibri" w:cs="Calibri"/>
          <w:b/>
          <w:bCs/>
          <w:color w:val="2F5496" w:themeColor="accent1" w:themeShade="BF"/>
        </w:rPr>
        <w:t xml:space="preserve"> </w:t>
      </w:r>
    </w:p>
    <w:p w14:paraId="7CB3C3EC" w14:textId="3CD5F715" w:rsidR="00EC3A58" w:rsidRPr="00C6549E" w:rsidRDefault="00C6549E" w:rsidP="00D848BC">
      <w:pPr>
        <w:pStyle w:val="ListParagraph"/>
        <w:numPr>
          <w:ilvl w:val="0"/>
          <w:numId w:val="87"/>
        </w:numPr>
        <w:spacing w:after="0"/>
        <w:textAlignment w:val="baseline"/>
        <w:rPr>
          <w:rFonts w:ascii="Calibri" w:hAnsi="Calibri" w:cs="Calibri"/>
          <w:b/>
          <w:bCs/>
          <w:color w:val="2F5496" w:themeColor="accent1" w:themeShade="BF"/>
        </w:rPr>
      </w:pPr>
      <w:hyperlink w:anchor="NO4" w:history="1">
        <w:r w:rsidR="00EC3A58" w:rsidRPr="00C6549E">
          <w:rPr>
            <w:rStyle w:val="Hyperlink"/>
            <w:rFonts w:ascii="Calibri" w:hAnsi="Calibri" w:cs="Calibri"/>
            <w:b/>
            <w:bCs/>
            <w:color w:val="2F5496" w:themeColor="accent1" w:themeShade="BF"/>
          </w:rPr>
          <w:t>GP Action</w:t>
        </w:r>
      </w:hyperlink>
      <w:r w:rsidR="00EC3A58" w:rsidRPr="00C6549E">
        <w:rPr>
          <w:rFonts w:ascii="Calibri" w:hAnsi="Calibri" w:cs="Calibri"/>
          <w:b/>
          <w:bCs/>
          <w:color w:val="2F5496" w:themeColor="accent1" w:themeShade="BF"/>
        </w:rPr>
        <w:t xml:space="preserve"> </w:t>
      </w:r>
    </w:p>
    <w:p w14:paraId="4103CE54" w14:textId="37CB6BA5" w:rsidR="0001382C" w:rsidRPr="00C6549E" w:rsidRDefault="00C6549E" w:rsidP="00D848BC">
      <w:pPr>
        <w:pStyle w:val="ListParagraph"/>
        <w:numPr>
          <w:ilvl w:val="0"/>
          <w:numId w:val="87"/>
        </w:numPr>
        <w:spacing w:after="0"/>
        <w:textAlignment w:val="baseline"/>
        <w:rPr>
          <w:rFonts w:ascii="Calibri" w:hAnsi="Calibri" w:cs="Calibri"/>
          <w:b/>
          <w:bCs/>
          <w:color w:val="2F5496" w:themeColor="accent1" w:themeShade="BF"/>
        </w:rPr>
      </w:pPr>
      <w:hyperlink w:anchor="NO5" w:history="1">
        <w:r w:rsidR="0001382C" w:rsidRPr="00C6549E">
          <w:rPr>
            <w:rStyle w:val="Hyperlink"/>
            <w:rFonts w:ascii="Calibri" w:hAnsi="Calibri" w:cs="Calibri"/>
            <w:b/>
            <w:bCs/>
            <w:color w:val="2F5496" w:themeColor="accent1" w:themeShade="BF"/>
          </w:rPr>
          <w:t>Liberal Democrat Party Conference</w:t>
        </w:r>
      </w:hyperlink>
      <w:r w:rsidR="0001382C" w:rsidRPr="00C6549E">
        <w:rPr>
          <w:rFonts w:ascii="Calibri" w:hAnsi="Calibri" w:cs="Calibri"/>
          <w:b/>
          <w:bCs/>
          <w:color w:val="2F5496" w:themeColor="accent1" w:themeShade="BF"/>
        </w:rPr>
        <w:t xml:space="preserve"> </w:t>
      </w:r>
    </w:p>
    <w:p w14:paraId="50506EA1" w14:textId="101EEE2B" w:rsidR="0001382C" w:rsidRPr="00C6549E" w:rsidRDefault="00C6549E" w:rsidP="00D848BC">
      <w:pPr>
        <w:pStyle w:val="ListParagraph"/>
        <w:numPr>
          <w:ilvl w:val="0"/>
          <w:numId w:val="87"/>
        </w:numPr>
        <w:spacing w:after="0"/>
        <w:textAlignment w:val="baseline"/>
        <w:rPr>
          <w:rFonts w:ascii="Calibri" w:hAnsi="Calibri" w:cs="Calibri"/>
          <w:b/>
          <w:bCs/>
          <w:color w:val="2F5496" w:themeColor="accent1" w:themeShade="BF"/>
        </w:rPr>
      </w:pPr>
      <w:hyperlink w:anchor="NO6" w:history="1">
        <w:r w:rsidR="003F1DC4" w:rsidRPr="00C6549E">
          <w:rPr>
            <w:rStyle w:val="Hyperlink"/>
            <w:rFonts w:ascii="Calibri" w:hAnsi="Calibri" w:cs="Calibri"/>
            <w:b/>
            <w:bCs/>
            <w:color w:val="2F5496" w:themeColor="accent1" w:themeShade="BF"/>
          </w:rPr>
          <w:t>Rollout of the medical examiner system in Englan</w:t>
        </w:r>
        <w:r w:rsidR="00CF0A1A" w:rsidRPr="00C6549E">
          <w:rPr>
            <w:rStyle w:val="Hyperlink"/>
            <w:rFonts w:ascii="Calibri" w:hAnsi="Calibri" w:cs="Calibri"/>
            <w:b/>
            <w:bCs/>
            <w:color w:val="2F5496" w:themeColor="accent1" w:themeShade="BF"/>
          </w:rPr>
          <w:t>d</w:t>
        </w:r>
      </w:hyperlink>
    </w:p>
    <w:p w14:paraId="30950E0A" w14:textId="719CA803" w:rsidR="00CF0A1A" w:rsidRPr="00C6549E" w:rsidRDefault="00C6549E" w:rsidP="00D848BC">
      <w:pPr>
        <w:pStyle w:val="ListParagraph"/>
        <w:numPr>
          <w:ilvl w:val="0"/>
          <w:numId w:val="87"/>
        </w:numPr>
        <w:spacing w:after="0"/>
        <w:textAlignment w:val="baseline"/>
        <w:rPr>
          <w:rFonts w:ascii="Calibri" w:hAnsi="Calibri" w:cs="Calibri"/>
          <w:b/>
          <w:bCs/>
          <w:color w:val="2F5496" w:themeColor="accent1" w:themeShade="BF"/>
        </w:rPr>
      </w:pPr>
      <w:hyperlink w:anchor="NO7" w:history="1">
        <w:r w:rsidR="00CF0A1A" w:rsidRPr="00C6549E">
          <w:rPr>
            <w:rStyle w:val="Hyperlink"/>
            <w:rFonts w:ascii="Calibri" w:hAnsi="Calibri" w:cs="Calibri"/>
            <w:b/>
            <w:bCs/>
            <w:color w:val="2F5496" w:themeColor="accent1" w:themeShade="BF"/>
          </w:rPr>
          <w:t>DDRB Report 2024/</w:t>
        </w:r>
        <w:proofErr w:type="gramStart"/>
        <w:r w:rsidR="00CF0A1A" w:rsidRPr="00C6549E">
          <w:rPr>
            <w:rStyle w:val="Hyperlink"/>
            <w:rFonts w:ascii="Calibri" w:hAnsi="Calibri" w:cs="Calibri"/>
            <w:b/>
            <w:bCs/>
            <w:color w:val="2F5496" w:themeColor="accent1" w:themeShade="BF"/>
          </w:rPr>
          <w:t>25 :</w:t>
        </w:r>
        <w:proofErr w:type="gramEnd"/>
        <w:r w:rsidR="00CF0A1A" w:rsidRPr="00C6549E">
          <w:rPr>
            <w:rStyle w:val="Hyperlink"/>
            <w:rFonts w:ascii="Calibri" w:hAnsi="Calibri" w:cs="Calibri"/>
            <w:b/>
            <w:bCs/>
            <w:color w:val="2F5496" w:themeColor="accent1" w:themeShade="BF"/>
          </w:rPr>
          <w:t xml:space="preserve"> Implications for General Practice</w:t>
        </w:r>
      </w:hyperlink>
    </w:p>
    <w:p w14:paraId="373705DF" w14:textId="6E8D219B" w:rsidR="00A537EE" w:rsidRPr="00C6549E" w:rsidRDefault="00C6549E" w:rsidP="00D848BC">
      <w:pPr>
        <w:pStyle w:val="ListParagraph"/>
        <w:numPr>
          <w:ilvl w:val="0"/>
          <w:numId w:val="87"/>
        </w:numPr>
        <w:spacing w:after="0"/>
        <w:textAlignment w:val="baseline"/>
        <w:rPr>
          <w:rFonts w:ascii="Calibri" w:hAnsi="Calibri" w:cs="Calibri"/>
          <w:b/>
          <w:bCs/>
          <w:color w:val="2F5496" w:themeColor="accent1" w:themeShade="BF"/>
        </w:rPr>
      </w:pPr>
      <w:hyperlink w:anchor="NO8" w:history="1">
        <w:r w:rsidR="00514B25" w:rsidRPr="00C6549E">
          <w:rPr>
            <w:rStyle w:val="Hyperlink"/>
            <w:rFonts w:ascii="Calibri" w:hAnsi="Calibri" w:cs="Calibri"/>
            <w:b/>
            <w:bCs/>
            <w:color w:val="2F5496" w:themeColor="accent1" w:themeShade="BF"/>
          </w:rPr>
          <w:t>GP Appointments – August 2024</w:t>
        </w:r>
      </w:hyperlink>
      <w:r w:rsidR="00514B25" w:rsidRPr="00C6549E">
        <w:rPr>
          <w:rFonts w:ascii="Calibri" w:hAnsi="Calibri" w:cs="Calibri"/>
          <w:b/>
          <w:bCs/>
          <w:color w:val="2F5496" w:themeColor="accent1" w:themeShade="BF"/>
        </w:rPr>
        <w:t xml:space="preserve"> </w:t>
      </w:r>
    </w:p>
    <w:p w14:paraId="7CDE4585" w14:textId="714E7CD3" w:rsidR="00514B25" w:rsidRPr="00C6549E" w:rsidRDefault="00C6549E" w:rsidP="00D848BC">
      <w:pPr>
        <w:pStyle w:val="ListParagraph"/>
        <w:numPr>
          <w:ilvl w:val="0"/>
          <w:numId w:val="87"/>
        </w:numPr>
        <w:spacing w:after="0"/>
        <w:textAlignment w:val="baseline"/>
        <w:rPr>
          <w:rStyle w:val="Hyperlink"/>
          <w:rFonts w:ascii="Calibri" w:hAnsi="Calibri" w:cs="Calibri"/>
          <w:b/>
          <w:bCs/>
          <w:color w:val="2F5496" w:themeColor="accent1" w:themeShade="BF"/>
          <w:u w:val="none"/>
        </w:rPr>
      </w:pPr>
      <w:hyperlink w:anchor="NO9" w:history="1">
        <w:r w:rsidR="00514B25" w:rsidRPr="00C6549E">
          <w:rPr>
            <w:rStyle w:val="Hyperlink"/>
            <w:rFonts w:ascii="Calibri" w:hAnsi="Calibri" w:cs="Calibri"/>
            <w:b/>
            <w:bCs/>
            <w:color w:val="2F5496" w:themeColor="accent1" w:themeShade="BF"/>
          </w:rPr>
          <w:t xml:space="preserve">GP Workforce </w:t>
        </w:r>
        <w:r w:rsidR="00A37989" w:rsidRPr="00C6549E">
          <w:rPr>
            <w:rStyle w:val="Hyperlink"/>
            <w:rFonts w:ascii="Calibri" w:hAnsi="Calibri" w:cs="Calibri"/>
            <w:b/>
            <w:bCs/>
            <w:color w:val="2F5496" w:themeColor="accent1" w:themeShade="BF"/>
          </w:rPr>
          <w:t>– August 2024</w:t>
        </w:r>
      </w:hyperlink>
    </w:p>
    <w:p w14:paraId="1B8E3158" w14:textId="54449FCA" w:rsidR="00274808" w:rsidRPr="00C6549E" w:rsidRDefault="00C6549E" w:rsidP="00C64998">
      <w:pPr>
        <w:pStyle w:val="ListParagraph"/>
        <w:numPr>
          <w:ilvl w:val="0"/>
          <w:numId w:val="87"/>
        </w:numPr>
        <w:spacing w:after="0"/>
        <w:textAlignment w:val="baseline"/>
        <w:rPr>
          <w:rStyle w:val="Hyperlink"/>
          <w:rFonts w:ascii="Calibri" w:hAnsi="Calibri" w:cs="Calibri"/>
          <w:b/>
          <w:bCs/>
          <w:color w:val="2F5496" w:themeColor="accent1" w:themeShade="BF"/>
          <w:u w:val="none"/>
        </w:rPr>
      </w:pPr>
      <w:hyperlink w:anchor="NU10" w:history="1">
        <w:r w:rsidR="00C64998" w:rsidRPr="00C6549E">
          <w:rPr>
            <w:rStyle w:val="Hyperlink"/>
            <w:rFonts w:ascii="Calibri" w:hAnsi="Calibri" w:cs="Calibri"/>
            <w:b/>
            <w:bCs/>
            <w:color w:val="2F5496" w:themeColor="accent1" w:themeShade="BF"/>
          </w:rPr>
          <w:t>New improvements to referrals – general practice to community pharmacy</w:t>
        </w:r>
      </w:hyperlink>
      <w:r w:rsidR="00C64998" w:rsidRPr="00C6549E">
        <w:rPr>
          <w:rStyle w:val="Hyperlink"/>
          <w:rFonts w:ascii="Calibri" w:hAnsi="Calibri" w:cs="Calibri"/>
          <w:b/>
          <w:bCs/>
          <w:color w:val="2F5496" w:themeColor="accent1" w:themeShade="BF"/>
          <w:u w:val="none"/>
        </w:rPr>
        <w:t xml:space="preserve"> </w:t>
      </w:r>
    </w:p>
    <w:p w14:paraId="3BD0E896" w14:textId="4BD698F8" w:rsidR="00C64998" w:rsidRPr="00C6549E" w:rsidRDefault="00C6549E" w:rsidP="00C64998">
      <w:pPr>
        <w:pStyle w:val="ListParagraph"/>
        <w:numPr>
          <w:ilvl w:val="0"/>
          <w:numId w:val="87"/>
        </w:numPr>
        <w:spacing w:after="0"/>
        <w:textAlignment w:val="baseline"/>
        <w:rPr>
          <w:rStyle w:val="Hyperlink"/>
          <w:rFonts w:ascii="Calibri" w:hAnsi="Calibri" w:cs="Calibri"/>
          <w:b/>
          <w:bCs/>
          <w:color w:val="2F5496" w:themeColor="accent1" w:themeShade="BF"/>
          <w:u w:val="none"/>
        </w:rPr>
      </w:pPr>
      <w:hyperlink w:anchor="NU11" w:history="1">
        <w:r w:rsidRPr="00C6549E">
          <w:rPr>
            <w:rStyle w:val="Hyperlink"/>
            <w:rFonts w:ascii="Calibri" w:hAnsi="Calibri" w:cs="Calibri"/>
            <w:b/>
            <w:bCs/>
            <w:color w:val="2F5496" w:themeColor="accent1" w:themeShade="BF"/>
          </w:rPr>
          <w:t>PCN DES contract updates</w:t>
        </w:r>
      </w:hyperlink>
      <w:r w:rsidRPr="00C6549E">
        <w:rPr>
          <w:rStyle w:val="Hyperlink"/>
          <w:rFonts w:ascii="Calibri" w:hAnsi="Calibri" w:cs="Calibri"/>
          <w:b/>
          <w:bCs/>
          <w:color w:val="2F5496" w:themeColor="accent1" w:themeShade="BF"/>
          <w:u w:val="none"/>
        </w:rPr>
        <w:t xml:space="preserve"> </w:t>
      </w:r>
    </w:p>
    <w:p w14:paraId="53471171" w14:textId="00F92FDD" w:rsidR="00C6549E" w:rsidRPr="00C6549E" w:rsidRDefault="00C6549E" w:rsidP="00C64998">
      <w:pPr>
        <w:pStyle w:val="ListParagraph"/>
        <w:numPr>
          <w:ilvl w:val="0"/>
          <w:numId w:val="87"/>
        </w:numPr>
        <w:spacing w:after="0"/>
        <w:textAlignment w:val="baseline"/>
        <w:rPr>
          <w:rStyle w:val="Hyperlink"/>
          <w:rFonts w:ascii="Calibri" w:hAnsi="Calibri" w:cs="Calibri"/>
          <w:b/>
          <w:bCs/>
          <w:color w:val="2F5496" w:themeColor="accent1" w:themeShade="BF"/>
          <w:u w:val="none"/>
        </w:rPr>
      </w:pPr>
      <w:hyperlink w:anchor="NU12" w:history="1">
        <w:r w:rsidRPr="00C6549E">
          <w:rPr>
            <w:rStyle w:val="Hyperlink"/>
            <w:rFonts w:ascii="Calibri" w:hAnsi="Calibri" w:cs="Calibri"/>
            <w:b/>
            <w:bCs/>
            <w:color w:val="2F5496" w:themeColor="accent1" w:themeShade="BF"/>
          </w:rPr>
          <w:t>GP registration GMS1 form being phased out</w:t>
        </w:r>
      </w:hyperlink>
    </w:p>
    <w:p w14:paraId="74569FB5" w14:textId="77777777" w:rsidR="00C6549E" w:rsidRPr="00C6549E" w:rsidRDefault="00C6549E" w:rsidP="00C6549E">
      <w:pPr>
        <w:spacing w:after="0"/>
        <w:ind w:left="360"/>
        <w:textAlignment w:val="baseline"/>
        <w:rPr>
          <w:rFonts w:ascii="Calibri" w:hAnsi="Calibri" w:cs="Calibri"/>
          <w:b/>
          <w:bCs/>
          <w:color w:val="2F5496" w:themeColor="accent1" w:themeShade="BF"/>
        </w:rPr>
      </w:pPr>
    </w:p>
    <w:p w14:paraId="4CBE282B" w14:textId="77777777" w:rsidR="00A37989" w:rsidRPr="00A37989" w:rsidRDefault="00A37989" w:rsidP="00A37989">
      <w:pPr>
        <w:spacing w:after="0"/>
        <w:ind w:left="360"/>
        <w:textAlignment w:val="baseline"/>
        <w:rPr>
          <w:rFonts w:ascii="Calibri" w:hAnsi="Calibri" w:cs="Calibri"/>
          <w:b/>
          <w:bCs/>
          <w:color w:val="2F5496" w:themeColor="accent1" w:themeShade="BF"/>
        </w:rPr>
      </w:pPr>
    </w:p>
    <w:p w14:paraId="174E37F6" w14:textId="77777777" w:rsidR="00180AB9" w:rsidRDefault="00180AB9" w:rsidP="0070730E">
      <w:pPr>
        <w:spacing w:after="0"/>
        <w:textAlignment w:val="baseline"/>
        <w:rPr>
          <w:rFonts w:ascii="Calibri" w:hAnsi="Calibri" w:cs="Calibri"/>
          <w:color w:val="202020"/>
        </w:rPr>
      </w:pPr>
    </w:p>
    <w:p w14:paraId="6F94E0F8" w14:textId="77777777" w:rsidR="00180AB9" w:rsidRDefault="00180AB9" w:rsidP="0070730E">
      <w:pPr>
        <w:spacing w:after="0"/>
        <w:textAlignment w:val="baseline"/>
        <w:rPr>
          <w:rFonts w:ascii="Calibri" w:hAnsi="Calibri" w:cs="Calibri"/>
          <w:color w:val="202020"/>
        </w:rPr>
      </w:pPr>
    </w:p>
    <w:p w14:paraId="5ADDB1DC" w14:textId="77777777" w:rsidR="00D614E2" w:rsidRDefault="00D614E2" w:rsidP="0070730E">
      <w:pPr>
        <w:spacing w:after="0"/>
        <w:textAlignment w:val="baseline"/>
        <w:rPr>
          <w:rFonts w:ascii="Calibri" w:hAnsi="Calibri" w:cs="Calibri"/>
          <w:color w:val="202020"/>
        </w:rPr>
      </w:pPr>
    </w:p>
    <w:p w14:paraId="5F437A74" w14:textId="77777777" w:rsidR="00D614E2" w:rsidRDefault="00D614E2" w:rsidP="0070730E">
      <w:pPr>
        <w:spacing w:after="0"/>
        <w:textAlignment w:val="baseline"/>
        <w:rPr>
          <w:rFonts w:ascii="Calibri" w:hAnsi="Calibri" w:cs="Calibri"/>
          <w:color w:val="202020"/>
        </w:rPr>
      </w:pPr>
    </w:p>
    <w:p w14:paraId="157B222B" w14:textId="77777777" w:rsidR="00D614E2" w:rsidRDefault="00D614E2" w:rsidP="0070730E">
      <w:pPr>
        <w:spacing w:after="0"/>
        <w:textAlignment w:val="baseline"/>
        <w:rPr>
          <w:rFonts w:ascii="Calibri" w:hAnsi="Calibri" w:cs="Calibri"/>
          <w:color w:val="202020"/>
        </w:rPr>
      </w:pPr>
    </w:p>
    <w:p w14:paraId="6B8DDBE8" w14:textId="77777777" w:rsidR="00D614E2" w:rsidRDefault="00D614E2" w:rsidP="0070730E">
      <w:pPr>
        <w:spacing w:after="0"/>
        <w:textAlignment w:val="baseline"/>
        <w:rPr>
          <w:rFonts w:ascii="Calibri" w:hAnsi="Calibri" w:cs="Calibri"/>
          <w:color w:val="202020"/>
        </w:rPr>
      </w:pPr>
    </w:p>
    <w:p w14:paraId="21E70D26" w14:textId="77777777" w:rsidR="00D614E2" w:rsidRDefault="00D614E2" w:rsidP="0070730E">
      <w:pPr>
        <w:spacing w:after="0"/>
        <w:textAlignment w:val="baseline"/>
        <w:rPr>
          <w:rFonts w:ascii="Calibri" w:hAnsi="Calibri" w:cs="Calibri"/>
          <w:color w:val="202020"/>
        </w:rPr>
      </w:pPr>
      <w:bookmarkStart w:id="0" w:name="NO1"/>
    </w:p>
    <w:p w14:paraId="71C6B48C" w14:textId="01D43300" w:rsidR="00D614E2" w:rsidRDefault="00D17ADE" w:rsidP="00F338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1.</w:t>
      </w:r>
      <w:r w:rsidRPr="00D17ADE">
        <w:rPr>
          <w:rFonts w:ascii="Calibri" w:hAnsi="Calibri" w:cs="Calibri"/>
          <w:b/>
          <w:bCs/>
          <w:color w:val="202020"/>
        </w:rPr>
        <w:t>Flu vaccination timings and payments</w:t>
      </w:r>
      <w:r w:rsidRPr="00D17ADE">
        <w:rPr>
          <w:rFonts w:ascii="Calibri" w:hAnsi="Calibri" w:cs="Calibri"/>
          <w:color w:val="202020"/>
        </w:rPr>
        <w:br/>
      </w:r>
      <w:bookmarkEnd w:id="0"/>
      <w:r w:rsidRPr="00D17ADE">
        <w:rPr>
          <w:rFonts w:ascii="Calibri" w:hAnsi="Calibri" w:cs="Calibri"/>
          <w:color w:val="202020"/>
        </w:rPr>
        <w:br/>
        <w:t xml:space="preserve">In line with Joint Committee on Vaccination and Immunisation (JCVI) recommendations, the </w:t>
      </w:r>
      <w:hyperlink r:id="rId11" w:history="1">
        <w:r w:rsidRPr="00D17ADE">
          <w:rPr>
            <w:rStyle w:val="Hyperlink"/>
            <w:rFonts w:ascii="Calibri" w:hAnsi="Calibri" w:cs="Calibri"/>
          </w:rPr>
          <w:t>flu letter</w:t>
        </w:r>
      </w:hyperlink>
      <w:r w:rsidRPr="00D17ADE">
        <w:rPr>
          <w:rFonts w:ascii="Calibri" w:hAnsi="Calibri" w:cs="Calibri"/>
          <w:color w:val="202020"/>
        </w:rPr>
        <w:t xml:space="preserve"> sets out that pregnant women and children are to be offered flu vaccination from 1 September 2024 and that the other cohorts will follow from 3 October 2024. These recommendations are based on evidence that flu vaccine effectiveness can wane over time in adults.</w:t>
      </w:r>
      <w:r w:rsidRPr="00D17ADE">
        <w:rPr>
          <w:rFonts w:ascii="Calibri" w:hAnsi="Calibri" w:cs="Calibri"/>
          <w:color w:val="202020"/>
        </w:rPr>
        <w:br/>
      </w:r>
      <w:r w:rsidRPr="00D17ADE">
        <w:rPr>
          <w:rFonts w:ascii="Calibri" w:hAnsi="Calibri" w:cs="Calibri"/>
          <w:color w:val="202020"/>
        </w:rPr>
        <w:br/>
        <w:t>No providers will be eligible for payment for the administration of influenza vaccinations outside the announced and authorised cohorts, with the limited exception of GPs that are able to evidence exceptional clinical circumstances requiring influenza vaccination to be administered at the request of the Commissioner.</w:t>
      </w:r>
    </w:p>
    <w:p w14:paraId="5101AF11" w14:textId="77777777" w:rsidR="00D614E2" w:rsidRDefault="00D614E2" w:rsidP="0070730E">
      <w:pPr>
        <w:spacing w:after="0"/>
        <w:textAlignment w:val="baseline"/>
        <w:rPr>
          <w:rFonts w:ascii="Calibri" w:hAnsi="Calibri" w:cs="Calibri"/>
          <w:color w:val="202020"/>
        </w:rPr>
      </w:pPr>
    </w:p>
    <w:p w14:paraId="2112AE5A" w14:textId="77777777" w:rsidR="00D614E2" w:rsidRDefault="00D614E2" w:rsidP="0070730E">
      <w:pPr>
        <w:spacing w:after="0"/>
        <w:textAlignment w:val="baseline"/>
        <w:rPr>
          <w:rFonts w:ascii="Calibri" w:hAnsi="Calibri" w:cs="Calibri"/>
          <w:color w:val="202020"/>
        </w:rPr>
      </w:pPr>
    </w:p>
    <w:p w14:paraId="3A22FC07" w14:textId="77777777" w:rsidR="00A37989" w:rsidRDefault="00A37989" w:rsidP="0070730E">
      <w:pPr>
        <w:spacing w:after="0"/>
        <w:textAlignment w:val="baseline"/>
        <w:rPr>
          <w:rFonts w:ascii="Calibri" w:hAnsi="Calibri" w:cs="Calibri"/>
          <w:color w:val="202020"/>
        </w:rPr>
      </w:pPr>
    </w:p>
    <w:p w14:paraId="6F77C25F" w14:textId="77777777" w:rsidR="00D614E2" w:rsidRDefault="00D614E2" w:rsidP="0070730E">
      <w:pPr>
        <w:spacing w:after="0"/>
        <w:textAlignment w:val="baseline"/>
        <w:rPr>
          <w:rFonts w:ascii="Calibri" w:hAnsi="Calibri" w:cs="Calibri"/>
          <w:color w:val="202020"/>
        </w:rPr>
      </w:pPr>
      <w:bookmarkStart w:id="1" w:name="NO2"/>
    </w:p>
    <w:p w14:paraId="65833460" w14:textId="21962C23" w:rsidR="00EE354C" w:rsidRPr="00EE354C" w:rsidRDefault="00EE354C" w:rsidP="00F338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2.</w:t>
      </w:r>
      <w:r w:rsidRPr="00EE354C">
        <w:rPr>
          <w:rFonts w:ascii="Calibri" w:hAnsi="Calibri" w:cs="Calibri"/>
          <w:b/>
          <w:bCs/>
          <w:color w:val="202020"/>
        </w:rPr>
        <w:t>Frontline healthcare worker winter vaccinations campaign 2024</w:t>
      </w:r>
      <w:bookmarkEnd w:id="1"/>
      <w:r w:rsidRPr="00EE354C">
        <w:rPr>
          <w:rFonts w:ascii="Calibri" w:hAnsi="Calibri" w:cs="Calibri"/>
          <w:color w:val="202020"/>
        </w:rPr>
        <w:br/>
      </w:r>
      <w:r w:rsidRPr="00EE354C">
        <w:rPr>
          <w:rFonts w:ascii="Calibri" w:hAnsi="Calibri" w:cs="Calibri"/>
          <w:color w:val="202020"/>
        </w:rPr>
        <w:br/>
        <w:t>Communications materials to support winter vaccination uptake amongst frontline healthcare professionals are now available to download from the </w:t>
      </w:r>
      <w:hyperlink r:id="rId12" w:history="1">
        <w:r w:rsidRPr="00EE354C">
          <w:rPr>
            <w:rStyle w:val="Hyperlink"/>
            <w:rFonts w:ascii="Calibri" w:hAnsi="Calibri" w:cs="Calibri"/>
          </w:rPr>
          <w:t>Campaign Resource Centre</w:t>
        </w:r>
      </w:hyperlink>
      <w:r w:rsidRPr="00EE354C">
        <w:rPr>
          <w:rFonts w:ascii="Calibri" w:hAnsi="Calibri" w:cs="Calibri"/>
          <w:color w:val="202020"/>
        </w:rPr>
        <w:t>.</w:t>
      </w:r>
      <w:r w:rsidRPr="00EE354C">
        <w:rPr>
          <w:rFonts w:ascii="Calibri" w:hAnsi="Calibri" w:cs="Calibri"/>
          <w:color w:val="202020"/>
        </w:rPr>
        <w:br/>
      </w:r>
      <w:r w:rsidRPr="00EE354C">
        <w:rPr>
          <w:rFonts w:ascii="Calibri" w:hAnsi="Calibri" w:cs="Calibri"/>
          <w:color w:val="202020"/>
        </w:rPr>
        <w:br/>
        <w:t>Campaign resources include:</w:t>
      </w:r>
    </w:p>
    <w:p w14:paraId="757D226F" w14:textId="77777777" w:rsidR="00EE354C" w:rsidRPr="00EE354C" w:rsidRDefault="00EE354C" w:rsidP="00F338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354C">
        <w:rPr>
          <w:rFonts w:ascii="Calibri" w:hAnsi="Calibri" w:cs="Calibri"/>
          <w:color w:val="202020"/>
        </w:rPr>
        <w:t>Social media graphics</w:t>
      </w:r>
    </w:p>
    <w:p w14:paraId="5C9EFB2D" w14:textId="77777777" w:rsidR="00EE354C" w:rsidRPr="00EE354C" w:rsidRDefault="00EE354C" w:rsidP="00F338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354C">
        <w:rPr>
          <w:rFonts w:ascii="Calibri" w:hAnsi="Calibri" w:cs="Calibri"/>
          <w:color w:val="202020"/>
        </w:rPr>
        <w:t>Digital screens</w:t>
      </w:r>
    </w:p>
    <w:p w14:paraId="5A16DB1E" w14:textId="77777777" w:rsidR="00EE354C" w:rsidRPr="00EE354C" w:rsidRDefault="00EE354C" w:rsidP="00F338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354C">
        <w:rPr>
          <w:rFonts w:ascii="Calibri" w:hAnsi="Calibri" w:cs="Calibri"/>
          <w:color w:val="202020"/>
        </w:rPr>
        <w:t>Email signatures</w:t>
      </w:r>
    </w:p>
    <w:p w14:paraId="39E0EBB6" w14:textId="77777777" w:rsidR="00EE354C" w:rsidRPr="00EE354C" w:rsidRDefault="00EE354C" w:rsidP="00F338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354C">
        <w:rPr>
          <w:rFonts w:ascii="Calibri" w:hAnsi="Calibri" w:cs="Calibri"/>
          <w:color w:val="202020"/>
        </w:rPr>
        <w:t>Stickers</w:t>
      </w:r>
    </w:p>
    <w:p w14:paraId="04BF687B" w14:textId="77777777" w:rsidR="00EE354C" w:rsidRPr="00EE354C" w:rsidRDefault="00EE354C" w:rsidP="00F338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354C">
        <w:rPr>
          <w:rFonts w:ascii="Calibri" w:hAnsi="Calibri" w:cs="Calibri"/>
          <w:color w:val="202020"/>
        </w:rPr>
        <w:t>Posters and social media graphics for localisation</w:t>
      </w:r>
    </w:p>
    <w:p w14:paraId="2AA9AE13" w14:textId="35045240" w:rsidR="00D614E2" w:rsidRDefault="00EE354C" w:rsidP="00F338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E354C">
        <w:rPr>
          <w:rFonts w:ascii="Calibri" w:hAnsi="Calibri" w:cs="Calibri"/>
          <w:color w:val="202020"/>
        </w:rPr>
        <w:t xml:space="preserve">Eligible frontline health and care professionals may be offered a COVID-19 vaccination by their employer from 3 October or can </w:t>
      </w:r>
      <w:hyperlink r:id="rId13" w:history="1">
        <w:r w:rsidRPr="00EE354C">
          <w:rPr>
            <w:rStyle w:val="Hyperlink"/>
            <w:rFonts w:ascii="Calibri" w:hAnsi="Calibri" w:cs="Calibri"/>
          </w:rPr>
          <w:t>book online</w:t>
        </w:r>
      </w:hyperlink>
      <w:r w:rsidRPr="00EE354C">
        <w:rPr>
          <w:rFonts w:ascii="Calibri" w:hAnsi="Calibri" w:cs="Calibri"/>
          <w:color w:val="202020"/>
        </w:rPr>
        <w:t xml:space="preserve"> from 23 September.</w:t>
      </w:r>
      <w:r w:rsidRPr="00EE354C">
        <w:rPr>
          <w:rFonts w:ascii="Calibri" w:hAnsi="Calibri" w:cs="Calibri"/>
          <w:color w:val="202020"/>
        </w:rPr>
        <w:br/>
      </w:r>
      <w:r w:rsidRPr="00EE354C">
        <w:rPr>
          <w:rFonts w:ascii="Calibri" w:hAnsi="Calibri" w:cs="Calibri"/>
          <w:color w:val="202020"/>
        </w:rPr>
        <w:br/>
        <w:t xml:space="preserve">The seasonal flu vaccine will be offered to all eligible frontline healthcare workers, including both clinical and non-clinical staff, through their employer from 3 October. Further information is available in the </w:t>
      </w:r>
      <w:hyperlink r:id="rId14" w:history="1">
        <w:r w:rsidRPr="00EE354C">
          <w:rPr>
            <w:rStyle w:val="Hyperlink"/>
            <w:rFonts w:ascii="Calibri" w:hAnsi="Calibri" w:cs="Calibri"/>
          </w:rPr>
          <w:t>seasonal vaccination letter</w:t>
        </w:r>
      </w:hyperlink>
      <w:r w:rsidRPr="00EE354C">
        <w:rPr>
          <w:rFonts w:ascii="Calibri" w:hAnsi="Calibri" w:cs="Calibri"/>
          <w:color w:val="202020"/>
        </w:rPr>
        <w:t>.</w:t>
      </w:r>
    </w:p>
    <w:p w14:paraId="296D27A1" w14:textId="77777777" w:rsidR="00036163" w:rsidRDefault="00036163" w:rsidP="00036163">
      <w:pPr>
        <w:rPr>
          <w:rFonts w:eastAsia="Times New Roman"/>
          <w:b/>
          <w:bCs/>
          <w:color w:val="000000"/>
          <w:sz w:val="24"/>
          <w:szCs w:val="24"/>
          <w:highlight w:val="yellow"/>
        </w:rPr>
      </w:pPr>
    </w:p>
    <w:p w14:paraId="0FC05DD9" w14:textId="5BAFFDC8" w:rsidR="005E09B2" w:rsidRPr="00597372" w:rsidRDefault="005E09B2"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2" w:name="NO3"/>
      <w:r w:rsidRPr="00597372">
        <w:rPr>
          <w:rFonts w:cstheme="minorHAnsi"/>
          <w:b/>
          <w:bCs/>
        </w:rPr>
        <w:t>3.Darzi Review</w:t>
      </w:r>
    </w:p>
    <w:bookmarkEnd w:id="2"/>
    <w:p w14:paraId="775F9BAB" w14:textId="0CE592FF" w:rsidR="005E09B2" w:rsidRPr="00597372" w:rsidRDefault="005E09B2"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597372">
        <w:rPr>
          <w:rFonts w:cstheme="minorHAnsi"/>
        </w:rPr>
        <w:t xml:space="preserve">Last week saw the </w:t>
      </w:r>
      <w:hyperlink r:id="rId15" w:history="1">
        <w:r w:rsidRPr="00597372">
          <w:rPr>
            <w:rFonts w:cstheme="minorHAnsi"/>
            <w:color w:val="0563C1"/>
            <w:u w:val="single"/>
          </w:rPr>
          <w:t>publication of the Darzi Review</w:t>
        </w:r>
      </w:hyperlink>
      <w:r w:rsidRPr="00597372">
        <w:rPr>
          <w:rFonts w:cstheme="minorHAnsi"/>
        </w:rPr>
        <w:t xml:space="preserve"> which was commissioned by Health Secretary, Wes Streeting to undertake a rapid investigation of the state of the NHS, assessing patient access, quality of care and the overall performance of the health system. The BMA has been clear </w:t>
      </w:r>
      <w:hyperlink r:id="rId16" w:history="1">
        <w:r w:rsidRPr="00597372">
          <w:rPr>
            <w:rFonts w:cstheme="minorHAnsi"/>
            <w:color w:val="0563C1"/>
            <w:u w:val="single"/>
          </w:rPr>
          <w:t>in our response</w:t>
        </w:r>
      </w:hyperlink>
      <w:r w:rsidRPr="00597372">
        <w:rPr>
          <w:rFonts w:cstheme="minorHAnsi"/>
        </w:rPr>
        <w:t xml:space="preserve"> that the review echoes many of our own concerns and recommendations.  The review noted that: </w:t>
      </w:r>
    </w:p>
    <w:p w14:paraId="27FC795A" w14:textId="057155C4" w:rsidR="005E09B2" w:rsidRPr="00597372" w:rsidRDefault="005E09B2"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597372">
        <w:rPr>
          <w:rFonts w:cstheme="minorHAnsi"/>
          <w:i/>
          <w:iCs/>
        </w:rPr>
        <w:t>"Engaging with doctors is essential, valuing the staff tasked with resuscitating the NHS is critical, but an honest conversation with the public about what money goes where, what will and will not be provided, and what will be rationed until additional resources are made available, is imperative."</w:t>
      </w:r>
    </w:p>
    <w:p w14:paraId="6C93C91F" w14:textId="1C34B219" w:rsidR="005E09B2" w:rsidRPr="00597372" w:rsidRDefault="005E09B2"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597372">
        <w:rPr>
          <w:rFonts w:cstheme="minorHAnsi"/>
        </w:rPr>
        <w:t xml:space="preserve">The BMA made several submissions to the Review itself highlighting four areas which must be prioritised by the Government in its efforts to </w:t>
      </w:r>
      <w:hyperlink r:id="rId17" w:history="1">
        <w:r w:rsidRPr="00597372">
          <w:rPr>
            <w:rFonts w:cstheme="minorHAnsi"/>
            <w:color w:val="0563C1"/>
            <w:u w:val="single"/>
          </w:rPr>
          <w:t>deliver a new 10-year plan for the NHS</w:t>
        </w:r>
      </w:hyperlink>
      <w:r w:rsidRPr="00597372">
        <w:rPr>
          <w:rFonts w:cstheme="minorHAnsi"/>
        </w:rPr>
        <w:t>. These include access to healthcare, increasing workforce capacity in primary and secondary care, improving public health and boosting NHS finance, capital and productivity. These are areas we think warrant immediate attention if the Government is serious about starting to rebuild the damage done to the NHS over the past decade.</w:t>
      </w:r>
    </w:p>
    <w:p w14:paraId="7C97A48B" w14:textId="77777777" w:rsidR="005E09B2" w:rsidRDefault="005E09B2"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 w:val="right" w:pos="9026"/>
        </w:tabs>
      </w:pPr>
      <w:r w:rsidRPr="00597372">
        <w:t xml:space="preserve">I </w:t>
      </w:r>
      <w:hyperlink r:id="rId18">
        <w:r w:rsidRPr="00597372">
          <w:rPr>
            <w:color w:val="0563C1"/>
            <w:u w:val="single"/>
          </w:rPr>
          <w:t>spoke on Times radio</w:t>
        </w:r>
      </w:hyperlink>
      <w:r w:rsidRPr="00597372">
        <w:t xml:space="preserve"> saying that the NHS recovery plan and growing primary care as a proportion of the NHS budget, could be ‘music to my ears, as a GP’. ‘A lot of the messages are ones we have been calling for’. </w:t>
      </w:r>
      <w:proofErr w:type="gramStart"/>
      <w:r w:rsidRPr="00597372">
        <w:t>However</w:t>
      </w:r>
      <w:proofErr w:type="gramEnd"/>
      <w:r w:rsidRPr="00597372">
        <w:t xml:space="preserve"> as Katie also said on BBC Radio 4’s Today programme last Friday 13 September, general practice cannot wait for prolonged Government plans and papers next year – general practice is collapsing now, which is why we have no choice but to take collective action now to prevent the loss of more GP surgeries and the loss of experienced GPs from the NHS workforce.</w:t>
      </w:r>
    </w:p>
    <w:p w14:paraId="6090531E" w14:textId="77777777" w:rsidR="005E09B2" w:rsidRDefault="005E09B2" w:rsidP="005E09B2">
      <w:pPr>
        <w:tabs>
          <w:tab w:val="left" w:pos="3690"/>
          <w:tab w:val="right" w:pos="9026"/>
        </w:tabs>
      </w:pPr>
    </w:p>
    <w:p w14:paraId="63660796" w14:textId="77777777" w:rsidR="00597372" w:rsidRDefault="00597372" w:rsidP="00036163">
      <w:pPr>
        <w:rPr>
          <w:rFonts w:eastAsia="Times New Roman"/>
          <w:b/>
          <w:bCs/>
          <w:color w:val="000000"/>
          <w:sz w:val="24"/>
          <w:szCs w:val="24"/>
          <w:highlight w:val="yellow"/>
        </w:rPr>
      </w:pPr>
    </w:p>
    <w:p w14:paraId="10A03193" w14:textId="3D9A4C18" w:rsidR="00036163" w:rsidRPr="00597372" w:rsidRDefault="005E09B2"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imes New Roman"/>
          <w:b/>
          <w:bCs/>
          <w:color w:val="000000"/>
        </w:rPr>
      </w:pPr>
      <w:bookmarkStart w:id="3" w:name="NO4"/>
      <w:r w:rsidRPr="00597372">
        <w:rPr>
          <w:rFonts w:eastAsia="Times New Roman"/>
          <w:b/>
          <w:bCs/>
          <w:color w:val="000000"/>
        </w:rPr>
        <w:t>4.</w:t>
      </w:r>
      <w:r w:rsidR="00036163" w:rsidRPr="00597372">
        <w:rPr>
          <w:rFonts w:eastAsia="Times New Roman"/>
          <w:b/>
          <w:bCs/>
          <w:color w:val="000000"/>
        </w:rPr>
        <w:t xml:space="preserve">GP Action </w:t>
      </w:r>
    </w:p>
    <w:bookmarkEnd w:id="3"/>
    <w:p w14:paraId="02D0EC95" w14:textId="3D80A60C"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pPr>
      <w:r w:rsidRPr="00597372">
        <w:t xml:space="preserve">Now that summer is </w:t>
      </w:r>
      <w:proofErr w:type="gramStart"/>
      <w:r w:rsidRPr="00597372">
        <w:t>over</w:t>
      </w:r>
      <w:proofErr w:type="gramEnd"/>
      <w:r w:rsidRPr="00597372">
        <w:t xml:space="preserve"> and we know you’re keen to get stuck into Collective Action. We have given the new government an opportunity to get around the table, but we are still waiting to hear back. I’ll be at the Labour Party Conference this weekend, and I’ve written to the Secretary of State this week ahead of the Autumn financial statement next month: the clock is ticking. </w:t>
      </w:r>
    </w:p>
    <w:p w14:paraId="31A2E931" w14:textId="3A0B5277"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pPr>
      <w:r w:rsidRPr="00597372">
        <w:t xml:space="preserve">Over 80% of practices are already taking one or more actions from our </w:t>
      </w:r>
      <w:hyperlink r:id="rId19">
        <w:r w:rsidRPr="00597372">
          <w:rPr>
            <w:color w:val="0563C1"/>
            <w:u w:val="single"/>
          </w:rPr>
          <w:t>safe sustainable action menu</w:t>
        </w:r>
      </w:hyperlink>
      <w:r w:rsidRPr="00597372">
        <w:t xml:space="preserve">. None of them breach your contract, but they will help you manage your workload and keep you safe. Don’t forget to use our </w:t>
      </w:r>
      <w:hyperlink r:id="rId20" w:history="1">
        <w:r w:rsidRPr="00597372">
          <w:rPr>
            <w:color w:val="0563C1"/>
            <w:u w:val="single"/>
          </w:rPr>
          <w:t>safe working guidance</w:t>
        </w:r>
        <w:r w:rsidRPr="00597372" w:rsidDel="000B50FF">
          <w:rPr>
            <w:color w:val="0563C1"/>
            <w:u w:val="single"/>
          </w:rPr>
          <w:t xml:space="preserve"> </w:t>
        </w:r>
        <w:r w:rsidRPr="00597372">
          <w:rPr>
            <w:color w:val="0563C1"/>
            <w:u w:val="single"/>
          </w:rPr>
          <w:t>handbook</w:t>
        </w:r>
      </w:hyperlink>
      <w:r w:rsidRPr="00597372">
        <w:t xml:space="preserve"> to support your practice team’s transition to providing safer, higher quality care for the patients you see.</w:t>
      </w:r>
    </w:p>
    <w:p w14:paraId="05369432" w14:textId="0CDB7751"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pPr>
      <w:r w:rsidRPr="00597372">
        <w:t xml:space="preserve">Our </w:t>
      </w:r>
      <w:hyperlink r:id="rId21">
        <w:r w:rsidRPr="00597372">
          <w:rPr>
            <w:color w:val="0563C1"/>
            <w:u w:val="single"/>
          </w:rPr>
          <w:t>GP practice survival toolkit</w:t>
        </w:r>
      </w:hyperlink>
      <w:r w:rsidRPr="00597372">
        <w:t xml:space="preserve"> include 10 actions practices can choose from, to support a safer service for their patients and their practice team, including:</w:t>
      </w:r>
    </w:p>
    <w:p w14:paraId="19DFF7F7" w14:textId="77777777"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spacing w:after="0" w:line="240" w:lineRule="auto"/>
        <w:contextualSpacing/>
      </w:pPr>
      <w:r w:rsidRPr="00597372">
        <w:t>Taking steps towards limiting daily patient contacts per clinician to the </w:t>
      </w:r>
      <w:hyperlink r:id="rId22">
        <w:r w:rsidRPr="00597372">
          <w:rPr>
            <w:color w:val="0563C1"/>
            <w:u w:val="single"/>
          </w:rPr>
          <w:t>UEMO recommended safe maximum of 25</w:t>
        </w:r>
      </w:hyperlink>
    </w:p>
    <w:p w14:paraId="4038823E" w14:textId="77777777"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spacing w:after="0" w:line="240" w:lineRule="auto"/>
        <w:contextualSpacing/>
      </w:pPr>
      <w:r w:rsidRPr="00597372">
        <w:t>Serving notice on additional unfunded work outside your contract, or on poorly funded locally commissioned services which are draining practice resource</w:t>
      </w:r>
    </w:p>
    <w:p w14:paraId="52E95140" w14:textId="77777777"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spacing w:after="0" w:line="240" w:lineRule="auto"/>
        <w:contextualSpacing/>
      </w:pPr>
      <w:r w:rsidRPr="00597372">
        <w:t>Opting out of local secondary use data sharing agreements</w:t>
      </w:r>
    </w:p>
    <w:p w14:paraId="5BDEDE16" w14:textId="77777777"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spacing w:after="0" w:line="240" w:lineRule="auto"/>
        <w:contextualSpacing/>
      </w:pPr>
      <w:r w:rsidRPr="00597372">
        <w:t>Switching off or muting medicine optimisation software which cuts costs as a priority over quality prescribing</w:t>
      </w:r>
    </w:p>
    <w:p w14:paraId="0FFAEA08" w14:textId="77777777"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spacing w:after="0" w:line="240" w:lineRule="auto"/>
        <w:contextualSpacing/>
      </w:pPr>
      <w:r w:rsidRPr="00597372">
        <w:t>Deferring your PCN declarations regarding online triage to 2025</w:t>
      </w:r>
    </w:p>
    <w:p w14:paraId="27F0E7EF" w14:textId="77777777"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pPr>
    </w:p>
    <w:p w14:paraId="4302E07A" w14:textId="17D9DA78" w:rsidR="00036163" w:rsidRPr="00597372" w:rsidRDefault="00036163" w:rsidP="005973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pPr>
      <w:r w:rsidRPr="00597372">
        <w:t xml:space="preserve">Our new </w:t>
      </w:r>
      <w:hyperlink r:id="rId23">
        <w:r w:rsidRPr="00597372">
          <w:rPr>
            <w:color w:val="0563C1"/>
            <w:u w:val="single"/>
          </w:rPr>
          <w:t>safe working guidance handbook</w:t>
        </w:r>
      </w:hyperlink>
      <w:r w:rsidRPr="00597372">
        <w:t xml:space="preserve"> embeds and prioritises safe high-quality care for your patients by focusing on the delivery of prioritising core GP services. These actions will work and build growing leverage in the months ahead to support us in negotiations for you and your practice team. </w:t>
      </w:r>
    </w:p>
    <w:p w14:paraId="2B5E46B4" w14:textId="77777777" w:rsidR="00D614E2" w:rsidRPr="00597372" w:rsidRDefault="00D614E2" w:rsidP="0070730E">
      <w:pPr>
        <w:spacing w:after="0"/>
        <w:textAlignment w:val="baseline"/>
        <w:rPr>
          <w:rFonts w:ascii="Calibri" w:hAnsi="Calibri" w:cs="Calibri"/>
          <w:color w:val="202020"/>
        </w:rPr>
      </w:pPr>
    </w:p>
    <w:p w14:paraId="22EF02E0" w14:textId="7CAB681A" w:rsidR="00147321" w:rsidRPr="00147321" w:rsidRDefault="00147321" w:rsidP="001473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4" w:name="NO5"/>
      <w:r w:rsidRPr="00147321">
        <w:rPr>
          <w:rFonts w:cstheme="minorHAnsi"/>
          <w:b/>
          <w:bCs/>
        </w:rPr>
        <w:t xml:space="preserve">5.Liberal Democrat Party Conference </w:t>
      </w:r>
    </w:p>
    <w:bookmarkEnd w:id="4"/>
    <w:p w14:paraId="3D589347" w14:textId="1A181179" w:rsidR="00147321" w:rsidRPr="00147321" w:rsidRDefault="00147321" w:rsidP="001473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47321">
        <w:rPr>
          <w:rFonts w:cstheme="minorHAnsi"/>
        </w:rPr>
        <w:t xml:space="preserve">I </w:t>
      </w:r>
      <w:r w:rsidRPr="00147321">
        <w:t xml:space="preserve">also attended events and meetings at this year’s Liberal Democrat conference with GPCE contracts and regulations policy lead, Dr James Booth. The aim was to secure awareness and support for our key asks of government. Events included an NHS Providers roundtable with key health stakeholders chaired by The Guardian’s senior health correspondent, Denis Campbell, and meetings with a new MPs, Tom Gordon, Pippa </w:t>
      </w:r>
      <w:proofErr w:type="spellStart"/>
      <w:r w:rsidRPr="00147321">
        <w:t>Heylings</w:t>
      </w:r>
      <w:proofErr w:type="spellEnd"/>
      <w:r w:rsidRPr="00147321">
        <w:t>, Tom Morrison, Ian Sollom, Freddie Van Mierlo, Will</w:t>
      </w:r>
      <w:r w:rsidRPr="00147321" w:rsidDel="00EA675A">
        <w:t xml:space="preserve"> </w:t>
      </w:r>
      <w:r w:rsidRPr="00147321">
        <w:t xml:space="preserve">Forster and Clive Jones. </w:t>
      </w:r>
    </w:p>
    <w:p w14:paraId="0A16CFCE" w14:textId="77777777" w:rsidR="00147321" w:rsidRDefault="00147321" w:rsidP="0014732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47321">
        <w:t xml:space="preserve">Your GPC England representatives outlined current pressures facing general practice, our exceptional mandate to </w:t>
      </w:r>
      <w:proofErr w:type="gramStart"/>
      <w:r w:rsidRPr="00147321">
        <w:t>take action</w:t>
      </w:r>
      <w:proofErr w:type="gramEnd"/>
      <w:r w:rsidRPr="00147321">
        <w:t>, GPCE asks of government, including additional funding and a new contract, and what our next steps will be. The meetings were productive with MPs gaining a greater understanding of the current situation and offering their support in addressing our concerns with the Government.</w:t>
      </w:r>
    </w:p>
    <w:p w14:paraId="0E203D8C" w14:textId="77777777" w:rsidR="00980077" w:rsidRDefault="00980077" w:rsidP="0070730E">
      <w:pPr>
        <w:spacing w:after="0"/>
        <w:textAlignment w:val="baseline"/>
        <w:rPr>
          <w:rFonts w:ascii="Calibri" w:hAnsi="Calibri" w:cs="Calibri"/>
          <w:color w:val="202020"/>
        </w:rPr>
      </w:pPr>
    </w:p>
    <w:p w14:paraId="5E3507E5" w14:textId="77777777" w:rsidR="00980077" w:rsidRDefault="00980077" w:rsidP="0070730E">
      <w:pPr>
        <w:spacing w:after="0"/>
        <w:textAlignment w:val="baseline"/>
        <w:rPr>
          <w:rFonts w:ascii="Calibri" w:hAnsi="Calibri" w:cs="Calibri"/>
          <w:color w:val="202020"/>
        </w:rPr>
      </w:pPr>
    </w:p>
    <w:p w14:paraId="54430CDA" w14:textId="77777777" w:rsidR="00980077" w:rsidRDefault="00980077" w:rsidP="0070730E">
      <w:pPr>
        <w:spacing w:after="0"/>
        <w:textAlignment w:val="baseline"/>
        <w:rPr>
          <w:rFonts w:ascii="Calibri" w:hAnsi="Calibri" w:cs="Calibri"/>
          <w:color w:val="202020"/>
        </w:rPr>
      </w:pPr>
    </w:p>
    <w:p w14:paraId="1D077995" w14:textId="77777777" w:rsidR="00DB32C7" w:rsidRDefault="00DB32C7" w:rsidP="00DB32C7">
      <w:pPr>
        <w:rPr>
          <w:rFonts w:cstheme="minorHAnsi"/>
          <w:b/>
          <w:bCs/>
          <w:highlight w:val="yellow"/>
        </w:rPr>
      </w:pPr>
      <w:bookmarkStart w:id="5" w:name="NO6"/>
    </w:p>
    <w:p w14:paraId="32CA5F54" w14:textId="199C5221" w:rsidR="00DB32C7" w:rsidRPr="00610E0D" w:rsidRDefault="00DB32C7" w:rsidP="00610E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610E0D">
        <w:rPr>
          <w:rFonts w:cstheme="minorHAnsi"/>
          <w:b/>
          <w:bCs/>
        </w:rPr>
        <w:t xml:space="preserve">6.Rollout of the medical examiner system in England </w:t>
      </w:r>
    </w:p>
    <w:bookmarkEnd w:id="5"/>
    <w:p w14:paraId="18B7D71C" w14:textId="77777777" w:rsidR="00DB32C7" w:rsidRPr="00610E0D" w:rsidRDefault="00DB32C7" w:rsidP="00610E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610E0D">
        <w:rPr>
          <w:rFonts w:cstheme="minorHAnsi"/>
        </w:rPr>
        <w:t>In England, the statutory implementation of the medical examiner system has taken place.</w:t>
      </w:r>
    </w:p>
    <w:p w14:paraId="7F1FDD8A" w14:textId="6147C6A3" w:rsidR="00DB32C7" w:rsidRPr="00610E0D" w:rsidRDefault="00DB32C7" w:rsidP="00610E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610E0D">
        <w:rPr>
          <w:rFonts w:cstheme="minorHAnsi"/>
        </w:rPr>
        <w:t>Independent scrutiny by a medical examiner is now a statutory requirement prior to the registration of all non-coronial deaths. Information from the </w:t>
      </w:r>
      <w:hyperlink r:id="rId24" w:history="1">
        <w:r w:rsidRPr="00610E0D">
          <w:rPr>
            <w:rFonts w:cstheme="minorHAnsi"/>
            <w:color w:val="0563C1"/>
            <w:u w:val="single"/>
          </w:rPr>
          <w:t>Department of Health and Social Care is here</w:t>
        </w:r>
      </w:hyperlink>
      <w:r w:rsidRPr="00610E0D">
        <w:rPr>
          <w:rFonts w:cstheme="minorHAnsi"/>
        </w:rPr>
        <w:t>. </w:t>
      </w:r>
    </w:p>
    <w:p w14:paraId="0482F7F0" w14:textId="77777777" w:rsidR="00DB32C7" w:rsidRDefault="00DB32C7" w:rsidP="00610E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610E0D">
        <w:rPr>
          <w:rFonts w:cstheme="minorHAnsi"/>
        </w:rPr>
        <w:t xml:space="preserve">If you require further information on implementation in your area, please contact your LMC. For more wider information on the medical examiner system please </w:t>
      </w:r>
      <w:hyperlink r:id="rId25" w:history="1">
        <w:r w:rsidRPr="00610E0D">
          <w:rPr>
            <w:rFonts w:cstheme="minorHAnsi"/>
            <w:color w:val="0563C1"/>
            <w:u w:val="single"/>
          </w:rPr>
          <w:t>contact the BMA</w:t>
        </w:r>
      </w:hyperlink>
      <w:r w:rsidRPr="00610E0D">
        <w:rPr>
          <w:rFonts w:cstheme="minorHAnsi"/>
        </w:rPr>
        <w:t>.</w:t>
      </w:r>
      <w:r w:rsidRPr="00FC0B10">
        <w:rPr>
          <w:rFonts w:cstheme="minorHAnsi"/>
        </w:rPr>
        <w:t xml:space="preserve"> </w:t>
      </w:r>
    </w:p>
    <w:p w14:paraId="2F6E6EF5" w14:textId="77777777" w:rsidR="00DB32C7" w:rsidRDefault="00DB32C7" w:rsidP="00DB32C7">
      <w:pPr>
        <w:rPr>
          <w:rFonts w:cstheme="minorHAnsi"/>
        </w:rPr>
      </w:pPr>
    </w:p>
    <w:p w14:paraId="774BAB18" w14:textId="690CEFE6" w:rsidR="00536A7F" w:rsidRPr="003D47FB" w:rsidRDefault="003D47FB"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6" w:name="NO7"/>
      <w:r w:rsidRPr="003D47FB">
        <w:rPr>
          <w:rFonts w:cstheme="minorHAnsi"/>
          <w:b/>
          <w:bCs/>
        </w:rPr>
        <w:t>7.</w:t>
      </w:r>
      <w:r w:rsidR="00536A7F" w:rsidRPr="003D47FB">
        <w:rPr>
          <w:rFonts w:cstheme="minorHAnsi"/>
          <w:b/>
          <w:bCs/>
        </w:rPr>
        <w:t xml:space="preserve">DDRB </w:t>
      </w:r>
      <w:r w:rsidR="00536A7F" w:rsidRPr="003D47FB">
        <w:rPr>
          <w:b/>
          <w:bCs/>
        </w:rPr>
        <w:t>Report 2024/25: Implications for General Practice</w:t>
      </w:r>
    </w:p>
    <w:bookmarkEnd w:id="6"/>
    <w:p w14:paraId="03082F24" w14:textId="16192D96" w:rsidR="00536A7F" w:rsidRPr="003D47FB" w:rsidRDefault="00536A7F"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D47FB">
        <w:t>The Government accepted the recommendations of the 52nd </w:t>
      </w:r>
      <w:hyperlink r:id="rId26" w:history="1">
        <w:r w:rsidRPr="003D47FB">
          <w:rPr>
            <w:rStyle w:val="Hyperlink"/>
          </w:rPr>
          <w:t>DDRB (Doctors and Dentists Pay Review Body) Report</w:t>
        </w:r>
      </w:hyperlink>
      <w:r w:rsidRPr="003D47FB">
        <w:t>, and for the first time since 2018/19 the DDRB made recommendations in relation to both GP contractors / partners and salaried colleagues. NHS England/DHSC have now finalised how the DDRB Award of 6% for Contractors will be implemented, and practices should receive backdated sums to April 2024 in this month’s pay run from ICBs.</w:t>
      </w:r>
    </w:p>
    <w:p w14:paraId="1D9B55CE" w14:textId="1D9CCE7F" w:rsidR="00536A7F" w:rsidRPr="003D47FB" w:rsidRDefault="00536A7F"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D47FB">
        <w:t>The aggregate rise in the 2024/25 GS (Global Sum) payment per weighted patient will be 7.4% resulting in a new GS payment per weighted patient of £112.50 – an increase of £7.77 compared to 2023/24. The OOHs deduction remains at 4.75% and in absolute terms this will change from £4.97 to £5.34, aligning with the total uplift of 7.4%.</w:t>
      </w:r>
    </w:p>
    <w:p w14:paraId="4C747186" w14:textId="282231A4" w:rsidR="00536A7F" w:rsidRPr="003D47FB" w:rsidRDefault="00536A7F"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D47FB">
        <w:t xml:space="preserve">The value of each QOF point in 2024/25 will therefore be £220.62 compared with £213.43 in 2023/24 (an increase of 3.4%). The DDRB has also recommended a 6% increase to GP sessional colleagues’ salary scales from 1 April 2024. GPC England has drafted a </w:t>
      </w:r>
      <w:hyperlink r:id="rId27" w:history="1">
        <w:r w:rsidRPr="003D47FB">
          <w:rPr>
            <w:rStyle w:val="Hyperlink"/>
          </w:rPr>
          <w:t>Focus On document</w:t>
        </w:r>
      </w:hyperlink>
      <w:r w:rsidRPr="003D47FB">
        <w:t xml:space="preserve"> which includes:</w:t>
      </w:r>
    </w:p>
    <w:p w14:paraId="2A33F839" w14:textId="452B58A8" w:rsidR="00536A7F" w:rsidRPr="003D47FB" w:rsidRDefault="00536A7F"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pPr>
      <w:r w:rsidRPr="003D47FB">
        <w:t>What uplift the DDRB has recommended this year</w:t>
      </w:r>
    </w:p>
    <w:p w14:paraId="26C674AE" w14:textId="12BD4FE1" w:rsidR="00536A7F" w:rsidRPr="003D47FB" w:rsidRDefault="00536A7F"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pPr>
      <w:r w:rsidRPr="003D47FB">
        <w:t>The mechanisms used to apply it to the Global Sum</w:t>
      </w:r>
    </w:p>
    <w:p w14:paraId="2677061D" w14:textId="49797946" w:rsidR="00536A7F" w:rsidRPr="003D47FB" w:rsidRDefault="00536A7F"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pPr>
      <w:r w:rsidRPr="003D47FB">
        <w:t xml:space="preserve">How this affects the Global Sum payment per weighted patient and </w:t>
      </w:r>
    </w:p>
    <w:p w14:paraId="0672250C" w14:textId="54F25866" w:rsidR="00536A7F" w:rsidRDefault="00536A7F"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pPr>
      <w:r w:rsidRPr="003D47FB">
        <w:t>Why not every practice always gets enough to pass on the full pay uplift to their practice-employed staff. </w:t>
      </w:r>
    </w:p>
    <w:p w14:paraId="675F0D1A" w14:textId="77777777" w:rsidR="003D47FB" w:rsidRPr="003D47FB" w:rsidRDefault="003D47FB"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pPr>
    </w:p>
    <w:p w14:paraId="6403FB40" w14:textId="77777777" w:rsidR="00536A7F" w:rsidRPr="003D47FB" w:rsidRDefault="00536A7F" w:rsidP="003D47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D47FB">
        <w:t xml:space="preserve">Our focus on document is also available on the </w:t>
      </w:r>
      <w:hyperlink r:id="rId28" w:history="1">
        <w:r w:rsidRPr="003D47FB">
          <w:rPr>
            <w:rStyle w:val="Hyperlink"/>
          </w:rPr>
          <w:t>BMA website</w:t>
        </w:r>
      </w:hyperlink>
      <w:r w:rsidRPr="003D47FB">
        <w:t>.</w:t>
      </w:r>
    </w:p>
    <w:p w14:paraId="07CAA171" w14:textId="77777777" w:rsidR="00536A7F" w:rsidRPr="003D47FB" w:rsidRDefault="00536A7F" w:rsidP="00536A7F">
      <w:pPr>
        <w:rPr>
          <w:rFonts w:eastAsiaTheme="minorEastAsia"/>
          <w:b/>
          <w:bCs/>
          <w:noProof/>
        </w:rPr>
      </w:pPr>
    </w:p>
    <w:p w14:paraId="620A42B1" w14:textId="77777777" w:rsidR="00980077" w:rsidRPr="003D47FB" w:rsidRDefault="00980077" w:rsidP="0070730E">
      <w:pPr>
        <w:spacing w:after="0"/>
        <w:textAlignment w:val="baseline"/>
        <w:rPr>
          <w:rFonts w:ascii="Calibri" w:hAnsi="Calibri" w:cs="Calibri"/>
          <w:color w:val="202020"/>
        </w:rPr>
      </w:pPr>
    </w:p>
    <w:p w14:paraId="1DA10F25" w14:textId="77777777" w:rsidR="00980077" w:rsidRPr="003D47FB" w:rsidRDefault="00980077" w:rsidP="0070730E">
      <w:pPr>
        <w:spacing w:after="0"/>
        <w:textAlignment w:val="baseline"/>
        <w:rPr>
          <w:rFonts w:ascii="Calibri" w:hAnsi="Calibri" w:cs="Calibri"/>
          <w:color w:val="202020"/>
        </w:rPr>
      </w:pPr>
    </w:p>
    <w:p w14:paraId="06AE2674" w14:textId="77777777" w:rsidR="00980077" w:rsidRPr="003D47FB" w:rsidRDefault="00980077" w:rsidP="0070730E">
      <w:pPr>
        <w:spacing w:after="0"/>
        <w:textAlignment w:val="baseline"/>
        <w:rPr>
          <w:rFonts w:ascii="Calibri" w:hAnsi="Calibri" w:cs="Calibri"/>
          <w:color w:val="202020"/>
        </w:rPr>
      </w:pPr>
    </w:p>
    <w:p w14:paraId="199A97D0" w14:textId="77777777" w:rsidR="00980077" w:rsidRDefault="00980077" w:rsidP="0070730E">
      <w:pPr>
        <w:spacing w:after="0"/>
        <w:textAlignment w:val="baseline"/>
        <w:rPr>
          <w:rFonts w:ascii="Calibri" w:hAnsi="Calibri" w:cs="Calibri"/>
          <w:color w:val="202020"/>
        </w:rPr>
      </w:pPr>
    </w:p>
    <w:p w14:paraId="61196D22" w14:textId="77777777" w:rsidR="00980077" w:rsidRDefault="00980077" w:rsidP="0070730E">
      <w:pPr>
        <w:spacing w:after="0"/>
        <w:textAlignment w:val="baseline"/>
        <w:rPr>
          <w:rFonts w:ascii="Calibri" w:hAnsi="Calibri" w:cs="Calibri"/>
          <w:color w:val="202020"/>
        </w:rPr>
      </w:pPr>
    </w:p>
    <w:p w14:paraId="70D4DE62" w14:textId="77777777" w:rsidR="00980077" w:rsidRDefault="00980077" w:rsidP="0070730E">
      <w:pPr>
        <w:spacing w:after="0"/>
        <w:textAlignment w:val="baseline"/>
        <w:rPr>
          <w:rFonts w:ascii="Calibri" w:hAnsi="Calibri" w:cs="Calibri"/>
          <w:color w:val="202020"/>
        </w:rPr>
      </w:pPr>
    </w:p>
    <w:p w14:paraId="6EFDAB72" w14:textId="77777777" w:rsidR="00980077" w:rsidRDefault="00980077" w:rsidP="0070730E">
      <w:pPr>
        <w:spacing w:after="0"/>
        <w:textAlignment w:val="baseline"/>
        <w:rPr>
          <w:rFonts w:ascii="Calibri" w:hAnsi="Calibri" w:cs="Calibri"/>
          <w:color w:val="202020"/>
        </w:rPr>
      </w:pPr>
    </w:p>
    <w:p w14:paraId="6B9D9A1C" w14:textId="77777777" w:rsidR="00980077" w:rsidRDefault="00980077" w:rsidP="0070730E">
      <w:pPr>
        <w:spacing w:after="0"/>
        <w:textAlignment w:val="baseline"/>
        <w:rPr>
          <w:rFonts w:ascii="Calibri" w:hAnsi="Calibri" w:cs="Calibri"/>
          <w:color w:val="202020"/>
        </w:rPr>
      </w:pPr>
    </w:p>
    <w:p w14:paraId="399012BA" w14:textId="77777777" w:rsidR="00980077" w:rsidRDefault="00980077" w:rsidP="0070730E">
      <w:pPr>
        <w:spacing w:after="0"/>
        <w:textAlignment w:val="baseline"/>
        <w:rPr>
          <w:rFonts w:ascii="Calibri" w:hAnsi="Calibri" w:cs="Calibri"/>
          <w:color w:val="202020"/>
        </w:rPr>
      </w:pPr>
    </w:p>
    <w:p w14:paraId="0349F35D" w14:textId="77777777" w:rsidR="00980077" w:rsidRDefault="00980077" w:rsidP="0070730E">
      <w:pPr>
        <w:spacing w:after="0"/>
        <w:textAlignment w:val="baseline"/>
        <w:rPr>
          <w:rFonts w:ascii="Calibri" w:hAnsi="Calibri" w:cs="Calibri"/>
          <w:color w:val="202020"/>
        </w:rPr>
      </w:pPr>
    </w:p>
    <w:p w14:paraId="5DFEC846" w14:textId="6DFB8E31" w:rsidR="00FC4D09" w:rsidRPr="00FC4D09"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bookmarkStart w:id="7" w:name="NO8"/>
      <w:r>
        <w:rPr>
          <w:rFonts w:ascii="Calibri" w:hAnsi="Calibri" w:cs="Calibri"/>
          <w:b/>
          <w:bCs/>
          <w:color w:val="202020"/>
          <w:u w:val="single"/>
        </w:rPr>
        <w:t>8.</w:t>
      </w:r>
      <w:r w:rsidRPr="00FC4D09">
        <w:rPr>
          <w:rFonts w:ascii="Calibri" w:hAnsi="Calibri" w:cs="Calibri"/>
          <w:b/>
          <w:bCs/>
          <w:color w:val="202020"/>
          <w:u w:val="single"/>
        </w:rPr>
        <w:t>GP Appointments – August 2024</w:t>
      </w:r>
    </w:p>
    <w:bookmarkEnd w:id="7"/>
    <w:p w14:paraId="609CC450" w14:textId="77777777" w:rsidR="00037081" w:rsidRDefault="00037081"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A9FE519" w14:textId="77777777" w:rsidR="00037081"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FC4D09">
        <w:rPr>
          <w:rFonts w:ascii="Calibri" w:hAnsi="Calibri" w:cs="Calibri"/>
          <w:b/>
          <w:bCs/>
          <w:color w:val="202020"/>
        </w:rPr>
        <w:t xml:space="preserve">Over 27.6 million standard (non-Covid-19 vaccination) appointments were booked in August 2024. </w:t>
      </w:r>
    </w:p>
    <w:p w14:paraId="1B5C6FAF" w14:textId="77777777" w:rsidR="00037081" w:rsidRDefault="00037081"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1255FF92" w14:textId="6324F1C8" w:rsidR="00FC4D09" w:rsidRPr="00FC4D09"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C4D09">
        <w:rPr>
          <w:rFonts w:ascii="Calibri" w:hAnsi="Calibri" w:cs="Calibri"/>
          <w:color w:val="202020"/>
        </w:rPr>
        <w:t xml:space="preserve">An average of 1.32 million appointments were delivered per working day during August, a slight decrease from the previous month (1.36 million appointments). </w:t>
      </w:r>
    </w:p>
    <w:p w14:paraId="083A4B3A" w14:textId="77777777" w:rsidR="00FC4D09" w:rsidRPr="00FC4D09"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C4D09">
        <w:rPr>
          <w:rFonts w:ascii="Calibri" w:hAnsi="Calibri" w:cs="Calibri"/>
          <w:color w:val="202020"/>
        </w:rPr>
        <w:t>This is the lowest average number of standard appointments delivered per working day since August 2023 (1.28 million appointments per working day), but also more than in August 2022 (1.21 million).</w:t>
      </w:r>
    </w:p>
    <w:p w14:paraId="3F64929D" w14:textId="77777777" w:rsidR="00FC4D09" w:rsidRPr="00FC4D09"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FC4D09">
        <w:rPr>
          <w:rFonts w:ascii="Calibri" w:hAnsi="Calibri" w:cs="Calibri"/>
          <w:color w:val="202020"/>
        </w:rPr>
        <w:t>From September 2023 to August 2024, approximately 363 million standard</w:t>
      </w:r>
      <w:r w:rsidRPr="00FC4D09">
        <w:rPr>
          <w:rFonts w:ascii="Calibri" w:hAnsi="Calibri" w:cs="Calibri"/>
          <w:b/>
          <w:bCs/>
          <w:color w:val="202020"/>
        </w:rPr>
        <w:t xml:space="preserve"> </w:t>
      </w:r>
      <w:r w:rsidRPr="00FC4D09">
        <w:rPr>
          <w:rFonts w:ascii="Calibri" w:hAnsi="Calibri" w:cs="Calibri"/>
          <w:color w:val="202020"/>
        </w:rPr>
        <w:t xml:space="preserve">appointments were booked. </w:t>
      </w:r>
    </w:p>
    <w:p w14:paraId="105960C3" w14:textId="77777777" w:rsidR="00FC4D09" w:rsidRPr="00FC4D09"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FC4D09">
        <w:rPr>
          <w:rFonts w:ascii="Calibri" w:hAnsi="Calibri" w:cs="Calibri"/>
          <w:color w:val="202020"/>
          <w:lang w:val="en-US"/>
        </w:rPr>
        <w:t xml:space="preserve">In terms of access, 45% of appointments in August 2024 were booked to take place on the same day, a slight increase from the previous month (44%). </w:t>
      </w:r>
    </w:p>
    <w:p w14:paraId="4FE1D681" w14:textId="77777777" w:rsidR="00FC4D09" w:rsidRPr="00FC4D09"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FC4D09">
        <w:rPr>
          <w:rFonts w:ascii="Calibri" w:hAnsi="Calibri" w:cs="Calibri"/>
          <w:color w:val="202020"/>
          <w:lang w:val="en-US"/>
        </w:rPr>
        <w:t xml:space="preserve">Nearly 83% of appointments were booked to take place within 2 weeks in August 2024, the same as the previous month. </w:t>
      </w:r>
    </w:p>
    <w:p w14:paraId="25EEFF83" w14:textId="77777777" w:rsidR="00FC4D09" w:rsidRPr="00FC4D09"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FC4D09">
        <w:rPr>
          <w:rFonts w:ascii="Calibri" w:hAnsi="Calibri" w:cs="Calibri"/>
          <w:color w:val="202020"/>
          <w:lang w:val="en-US"/>
        </w:rPr>
        <w:t xml:space="preserve">Around 65% of appointments were booked to take place face to face, the same as the previous month. </w:t>
      </w:r>
    </w:p>
    <w:p w14:paraId="5CCD069A" w14:textId="77777777" w:rsidR="00FC4D09" w:rsidRPr="00FC4D09" w:rsidRDefault="00FC4D09" w:rsidP="000370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FC4D09">
        <w:rPr>
          <w:rFonts w:ascii="Calibri" w:hAnsi="Calibri" w:cs="Calibri"/>
          <w:color w:val="202020"/>
        </w:rPr>
        <w:t xml:space="preserve">Around 44% of appointments were delivered by a GP in July 2024, </w:t>
      </w:r>
      <w:r w:rsidRPr="00FC4D09">
        <w:rPr>
          <w:rFonts w:ascii="Calibri" w:hAnsi="Calibri" w:cs="Calibri"/>
          <w:color w:val="202020"/>
          <w:lang w:val="en-US"/>
        </w:rPr>
        <w:t>the same as the previous month.</w:t>
      </w:r>
    </w:p>
    <w:p w14:paraId="5F78E006" w14:textId="77777777" w:rsidR="00980077" w:rsidRDefault="00980077" w:rsidP="0070730E">
      <w:pPr>
        <w:spacing w:after="0"/>
        <w:textAlignment w:val="baseline"/>
        <w:rPr>
          <w:rFonts w:ascii="Calibri" w:hAnsi="Calibri" w:cs="Calibri"/>
          <w:color w:val="202020"/>
        </w:rPr>
      </w:pPr>
    </w:p>
    <w:p w14:paraId="51A839E1" w14:textId="77777777" w:rsidR="00980077" w:rsidRDefault="00980077" w:rsidP="0070730E">
      <w:pPr>
        <w:spacing w:after="0"/>
        <w:textAlignment w:val="baseline"/>
        <w:rPr>
          <w:rFonts w:ascii="Calibri" w:hAnsi="Calibri" w:cs="Calibri"/>
          <w:color w:val="202020"/>
        </w:rPr>
      </w:pPr>
    </w:p>
    <w:p w14:paraId="00CCA274" w14:textId="77777777" w:rsidR="00040BFE" w:rsidRDefault="00040BFE" w:rsidP="00040BFE">
      <w:pPr>
        <w:spacing w:after="0"/>
        <w:textAlignment w:val="baseline"/>
        <w:rPr>
          <w:rFonts w:ascii="Calibri" w:hAnsi="Calibri" w:cs="Calibri"/>
          <w:b/>
          <w:bCs/>
          <w:color w:val="202020"/>
          <w:u w:val="single"/>
        </w:rPr>
      </w:pPr>
    </w:p>
    <w:p w14:paraId="7F360066" w14:textId="77777777" w:rsidR="00040BFE" w:rsidRDefault="00040BFE" w:rsidP="00040BFE">
      <w:pPr>
        <w:spacing w:after="0"/>
        <w:textAlignment w:val="baseline"/>
        <w:rPr>
          <w:rFonts w:ascii="Calibri" w:hAnsi="Calibri" w:cs="Calibri"/>
          <w:b/>
          <w:bCs/>
          <w:color w:val="202020"/>
          <w:u w:val="single"/>
        </w:rPr>
      </w:pPr>
    </w:p>
    <w:p w14:paraId="66EC96E5" w14:textId="77777777" w:rsidR="00040BFE" w:rsidRDefault="00040BFE" w:rsidP="00040BFE">
      <w:pPr>
        <w:spacing w:after="0"/>
        <w:textAlignment w:val="baseline"/>
        <w:rPr>
          <w:rFonts w:ascii="Calibri" w:hAnsi="Calibri" w:cs="Calibri"/>
          <w:b/>
          <w:bCs/>
          <w:color w:val="202020"/>
          <w:u w:val="single"/>
        </w:rPr>
      </w:pPr>
    </w:p>
    <w:p w14:paraId="65174FC4" w14:textId="77777777" w:rsidR="00040BFE" w:rsidRDefault="00040BFE" w:rsidP="00040BFE">
      <w:pPr>
        <w:spacing w:after="0"/>
        <w:textAlignment w:val="baseline"/>
        <w:rPr>
          <w:rFonts w:ascii="Calibri" w:hAnsi="Calibri" w:cs="Calibri"/>
          <w:b/>
          <w:bCs/>
          <w:color w:val="202020"/>
          <w:u w:val="single"/>
        </w:rPr>
      </w:pPr>
    </w:p>
    <w:p w14:paraId="490FD365" w14:textId="77777777" w:rsidR="00040BFE" w:rsidRDefault="00040BFE" w:rsidP="00040BFE">
      <w:pPr>
        <w:spacing w:after="0"/>
        <w:textAlignment w:val="baseline"/>
        <w:rPr>
          <w:rFonts w:ascii="Calibri" w:hAnsi="Calibri" w:cs="Calibri"/>
          <w:b/>
          <w:bCs/>
          <w:color w:val="202020"/>
          <w:u w:val="single"/>
        </w:rPr>
      </w:pPr>
    </w:p>
    <w:p w14:paraId="129A2498" w14:textId="77777777" w:rsidR="00040BFE" w:rsidRDefault="00040BFE" w:rsidP="00040BFE">
      <w:pPr>
        <w:spacing w:after="0"/>
        <w:textAlignment w:val="baseline"/>
        <w:rPr>
          <w:rFonts w:ascii="Calibri" w:hAnsi="Calibri" w:cs="Calibri"/>
          <w:b/>
          <w:bCs/>
          <w:color w:val="202020"/>
          <w:u w:val="single"/>
        </w:rPr>
      </w:pPr>
    </w:p>
    <w:p w14:paraId="7ED2538E" w14:textId="77777777" w:rsidR="00040BFE" w:rsidRDefault="00040BFE" w:rsidP="00040BFE">
      <w:pPr>
        <w:spacing w:after="0"/>
        <w:textAlignment w:val="baseline"/>
        <w:rPr>
          <w:rFonts w:ascii="Calibri" w:hAnsi="Calibri" w:cs="Calibri"/>
          <w:b/>
          <w:bCs/>
          <w:color w:val="202020"/>
          <w:u w:val="single"/>
        </w:rPr>
      </w:pPr>
    </w:p>
    <w:p w14:paraId="568CF65E" w14:textId="77777777" w:rsidR="00040BFE" w:rsidRDefault="00040BFE" w:rsidP="00040BFE">
      <w:pPr>
        <w:spacing w:after="0"/>
        <w:textAlignment w:val="baseline"/>
        <w:rPr>
          <w:rFonts w:ascii="Calibri" w:hAnsi="Calibri" w:cs="Calibri"/>
          <w:b/>
          <w:bCs/>
          <w:color w:val="202020"/>
          <w:u w:val="single"/>
        </w:rPr>
      </w:pPr>
    </w:p>
    <w:p w14:paraId="0544C320" w14:textId="77777777" w:rsidR="00040BFE" w:rsidRDefault="00040BFE" w:rsidP="00040BFE">
      <w:pPr>
        <w:spacing w:after="0"/>
        <w:textAlignment w:val="baseline"/>
        <w:rPr>
          <w:rFonts w:ascii="Calibri" w:hAnsi="Calibri" w:cs="Calibri"/>
          <w:b/>
          <w:bCs/>
          <w:color w:val="202020"/>
          <w:u w:val="single"/>
        </w:rPr>
      </w:pPr>
    </w:p>
    <w:p w14:paraId="700894C8" w14:textId="77777777" w:rsidR="00040BFE" w:rsidRDefault="00040BFE" w:rsidP="00040BFE">
      <w:pPr>
        <w:spacing w:after="0"/>
        <w:textAlignment w:val="baseline"/>
        <w:rPr>
          <w:rFonts w:ascii="Calibri" w:hAnsi="Calibri" w:cs="Calibri"/>
          <w:b/>
          <w:bCs/>
          <w:color w:val="202020"/>
          <w:u w:val="single"/>
        </w:rPr>
      </w:pPr>
    </w:p>
    <w:p w14:paraId="135D8CE1" w14:textId="77777777" w:rsidR="00040BFE" w:rsidRDefault="00040BFE" w:rsidP="00040BFE">
      <w:pPr>
        <w:spacing w:after="0"/>
        <w:textAlignment w:val="baseline"/>
        <w:rPr>
          <w:rFonts w:ascii="Calibri" w:hAnsi="Calibri" w:cs="Calibri"/>
          <w:b/>
          <w:bCs/>
          <w:color w:val="202020"/>
          <w:u w:val="single"/>
        </w:rPr>
      </w:pPr>
    </w:p>
    <w:p w14:paraId="16DC8394" w14:textId="77777777" w:rsidR="00040BFE" w:rsidRDefault="00040BFE" w:rsidP="00040BFE">
      <w:pPr>
        <w:spacing w:after="0"/>
        <w:textAlignment w:val="baseline"/>
        <w:rPr>
          <w:rFonts w:ascii="Calibri" w:hAnsi="Calibri" w:cs="Calibri"/>
          <w:b/>
          <w:bCs/>
          <w:color w:val="202020"/>
          <w:u w:val="single"/>
        </w:rPr>
      </w:pPr>
    </w:p>
    <w:p w14:paraId="234EF9B0" w14:textId="77777777" w:rsidR="00040BFE" w:rsidRDefault="00040BFE" w:rsidP="00040BFE">
      <w:pPr>
        <w:spacing w:after="0"/>
        <w:textAlignment w:val="baseline"/>
        <w:rPr>
          <w:rFonts w:ascii="Calibri" w:hAnsi="Calibri" w:cs="Calibri"/>
          <w:b/>
          <w:bCs/>
          <w:color w:val="202020"/>
          <w:u w:val="single"/>
        </w:rPr>
      </w:pPr>
    </w:p>
    <w:p w14:paraId="12C63E62" w14:textId="77777777" w:rsidR="00040BFE" w:rsidRDefault="00040BFE" w:rsidP="00040BFE">
      <w:pPr>
        <w:spacing w:after="0"/>
        <w:textAlignment w:val="baseline"/>
        <w:rPr>
          <w:rFonts w:ascii="Calibri" w:hAnsi="Calibri" w:cs="Calibri"/>
          <w:b/>
          <w:bCs/>
          <w:color w:val="202020"/>
          <w:u w:val="single"/>
        </w:rPr>
      </w:pPr>
    </w:p>
    <w:p w14:paraId="5F106239" w14:textId="77777777" w:rsidR="00040BFE" w:rsidRDefault="00040BFE" w:rsidP="00040BFE">
      <w:pPr>
        <w:spacing w:after="0"/>
        <w:textAlignment w:val="baseline"/>
        <w:rPr>
          <w:rFonts w:ascii="Calibri" w:hAnsi="Calibri" w:cs="Calibri"/>
          <w:b/>
          <w:bCs/>
          <w:color w:val="202020"/>
          <w:u w:val="single"/>
        </w:rPr>
      </w:pPr>
    </w:p>
    <w:p w14:paraId="7A12A5BA" w14:textId="77777777" w:rsidR="00040BFE" w:rsidRDefault="00040BFE" w:rsidP="00040BFE">
      <w:pPr>
        <w:spacing w:after="0"/>
        <w:textAlignment w:val="baseline"/>
        <w:rPr>
          <w:rFonts w:ascii="Calibri" w:hAnsi="Calibri" w:cs="Calibri"/>
          <w:b/>
          <w:bCs/>
          <w:color w:val="202020"/>
          <w:u w:val="single"/>
        </w:rPr>
      </w:pPr>
    </w:p>
    <w:p w14:paraId="3DDA9869" w14:textId="77777777" w:rsidR="00040BFE" w:rsidRDefault="00040BFE" w:rsidP="00040BFE">
      <w:pPr>
        <w:spacing w:after="0"/>
        <w:textAlignment w:val="baseline"/>
        <w:rPr>
          <w:rFonts w:ascii="Calibri" w:hAnsi="Calibri" w:cs="Calibri"/>
          <w:b/>
          <w:bCs/>
          <w:color w:val="202020"/>
          <w:u w:val="single"/>
        </w:rPr>
      </w:pPr>
    </w:p>
    <w:p w14:paraId="0AEE4C5B" w14:textId="77777777" w:rsidR="00040BFE" w:rsidRDefault="00040BFE" w:rsidP="00040BFE">
      <w:pPr>
        <w:spacing w:after="0"/>
        <w:textAlignment w:val="baseline"/>
        <w:rPr>
          <w:rFonts w:ascii="Calibri" w:hAnsi="Calibri" w:cs="Calibri"/>
          <w:b/>
          <w:bCs/>
          <w:color w:val="202020"/>
          <w:u w:val="single"/>
        </w:rPr>
      </w:pPr>
    </w:p>
    <w:p w14:paraId="13C62248" w14:textId="77777777" w:rsidR="00040BFE" w:rsidRDefault="00040BFE" w:rsidP="00040BFE">
      <w:pPr>
        <w:spacing w:after="0"/>
        <w:textAlignment w:val="baseline"/>
        <w:rPr>
          <w:rFonts w:ascii="Calibri" w:hAnsi="Calibri" w:cs="Calibri"/>
          <w:b/>
          <w:bCs/>
          <w:color w:val="202020"/>
          <w:u w:val="single"/>
        </w:rPr>
      </w:pPr>
    </w:p>
    <w:p w14:paraId="1B08B1F9" w14:textId="77777777" w:rsidR="00040BFE" w:rsidRDefault="00040BFE" w:rsidP="00040BFE">
      <w:pPr>
        <w:spacing w:after="0"/>
        <w:textAlignment w:val="baseline"/>
        <w:rPr>
          <w:rFonts w:ascii="Calibri" w:hAnsi="Calibri" w:cs="Calibri"/>
          <w:b/>
          <w:bCs/>
          <w:color w:val="202020"/>
          <w:u w:val="single"/>
        </w:rPr>
      </w:pPr>
    </w:p>
    <w:p w14:paraId="2052C433" w14:textId="77777777" w:rsidR="00040BFE" w:rsidRDefault="00040BFE" w:rsidP="00040BFE">
      <w:pPr>
        <w:spacing w:after="0"/>
        <w:textAlignment w:val="baseline"/>
        <w:rPr>
          <w:rFonts w:ascii="Calibri" w:hAnsi="Calibri" w:cs="Calibri"/>
          <w:b/>
          <w:bCs/>
          <w:color w:val="202020"/>
          <w:u w:val="single"/>
        </w:rPr>
      </w:pPr>
    </w:p>
    <w:p w14:paraId="313EB0DC" w14:textId="77777777" w:rsidR="00040BFE" w:rsidRDefault="00040BFE" w:rsidP="00040BFE">
      <w:pPr>
        <w:spacing w:after="0"/>
        <w:textAlignment w:val="baseline"/>
        <w:rPr>
          <w:rFonts w:ascii="Calibri" w:hAnsi="Calibri" w:cs="Calibri"/>
          <w:b/>
          <w:bCs/>
          <w:color w:val="202020"/>
          <w:u w:val="single"/>
        </w:rPr>
      </w:pPr>
    </w:p>
    <w:p w14:paraId="08A9F6C7" w14:textId="77777777" w:rsidR="00040BFE" w:rsidRDefault="00040BFE" w:rsidP="00040BFE">
      <w:pPr>
        <w:spacing w:after="0"/>
        <w:textAlignment w:val="baseline"/>
        <w:rPr>
          <w:rFonts w:ascii="Calibri" w:hAnsi="Calibri" w:cs="Calibri"/>
          <w:b/>
          <w:bCs/>
          <w:color w:val="202020"/>
          <w:u w:val="single"/>
        </w:rPr>
      </w:pPr>
    </w:p>
    <w:p w14:paraId="197C647C" w14:textId="77777777" w:rsidR="00040BFE" w:rsidRDefault="00040BFE" w:rsidP="00040BFE">
      <w:pPr>
        <w:spacing w:after="0"/>
        <w:textAlignment w:val="baseline"/>
        <w:rPr>
          <w:rFonts w:ascii="Calibri" w:hAnsi="Calibri" w:cs="Calibri"/>
          <w:b/>
          <w:bCs/>
          <w:color w:val="202020"/>
          <w:u w:val="single"/>
        </w:rPr>
      </w:pPr>
    </w:p>
    <w:p w14:paraId="115E7351" w14:textId="77777777" w:rsidR="00040BFE" w:rsidRDefault="00040BFE" w:rsidP="00040BFE">
      <w:pPr>
        <w:spacing w:after="0"/>
        <w:textAlignment w:val="baseline"/>
        <w:rPr>
          <w:rFonts w:ascii="Calibri" w:hAnsi="Calibri" w:cs="Calibri"/>
          <w:b/>
          <w:bCs/>
          <w:color w:val="202020"/>
          <w:u w:val="single"/>
        </w:rPr>
      </w:pPr>
    </w:p>
    <w:p w14:paraId="4F392AE1" w14:textId="77777777" w:rsidR="00040BFE" w:rsidRDefault="00040BFE" w:rsidP="00040BFE">
      <w:pPr>
        <w:spacing w:after="0"/>
        <w:textAlignment w:val="baseline"/>
        <w:rPr>
          <w:rFonts w:ascii="Calibri" w:hAnsi="Calibri" w:cs="Calibri"/>
          <w:b/>
          <w:bCs/>
          <w:color w:val="202020"/>
          <w:u w:val="single"/>
        </w:rPr>
      </w:pPr>
    </w:p>
    <w:p w14:paraId="01AB99C9" w14:textId="25ECFE9B"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bookmarkStart w:id="8" w:name="NO9"/>
      <w:r>
        <w:rPr>
          <w:rFonts w:ascii="Calibri" w:hAnsi="Calibri" w:cs="Calibri"/>
          <w:b/>
          <w:bCs/>
          <w:color w:val="202020"/>
          <w:u w:val="single"/>
        </w:rPr>
        <w:t>9.</w:t>
      </w:r>
      <w:r w:rsidRPr="00040BFE">
        <w:rPr>
          <w:rFonts w:ascii="Calibri" w:hAnsi="Calibri" w:cs="Calibri"/>
          <w:b/>
          <w:bCs/>
          <w:color w:val="202020"/>
          <w:u w:val="single"/>
        </w:rPr>
        <w:t>GP Workforce – August 2024</w:t>
      </w:r>
    </w:p>
    <w:bookmarkEnd w:id="8"/>
    <w:p w14:paraId="2F375D02"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p>
    <w:p w14:paraId="79F7D6EA"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b/>
          <w:bCs/>
          <w:color w:val="202020"/>
        </w:rPr>
        <w:t>The NHS had the equivalent of 27,807 fully qualified full-time GPs in July 2024 – an increase of 145 FTE GPs since the previous month. We have the equivalent of 1,557 fewer fully qualified full-time GPs than we did in September 2015. During this time, there has been a rise in the number of patients, with August 2024 seeing yet another record-breaking number. GPs are now responsible for about 18% more patients than in 2015, demonstrating ever mounting workload pressures.  </w:t>
      </w:r>
    </w:p>
    <w:p w14:paraId="33FCC0E6"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p>
    <w:p w14:paraId="028114FF"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color w:val="202020"/>
        </w:rPr>
        <w:t xml:space="preserve">In August 2024, the NHS had the equivalent of 27,807 fully qualified full-time GPs – an increase of 145FTE GPs since the previous month. </w:t>
      </w:r>
    </w:p>
    <w:p w14:paraId="2D0F1B28"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color w:val="202020"/>
        </w:rPr>
        <w:t>Over the last 12 months, there has been an increase of 561 fully qualified FTE GPs.</w:t>
      </w:r>
    </w:p>
    <w:p w14:paraId="3791A0EE"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color w:val="202020"/>
        </w:rPr>
        <w:t>Between September 2015 and June 2023, the NHS had been losing FTE</w:t>
      </w:r>
      <w:r w:rsidRPr="00040BFE">
        <w:rPr>
          <w:rFonts w:ascii="Calibri" w:hAnsi="Calibri" w:cs="Calibri"/>
          <w:i/>
          <w:iCs/>
          <w:color w:val="202020"/>
        </w:rPr>
        <w:t xml:space="preserve"> </w:t>
      </w:r>
      <w:r w:rsidRPr="00040BFE">
        <w:rPr>
          <w:rFonts w:ascii="Calibri" w:hAnsi="Calibri" w:cs="Calibri"/>
          <w:color w:val="202020"/>
        </w:rPr>
        <w:t xml:space="preserve">fully qualified GPs at an alarming rate. While recent gains are positive, they have not been sufficient to make up for historical losses. We still have the equivalent of 1,557 </w:t>
      </w:r>
      <w:r w:rsidRPr="00040BFE">
        <w:rPr>
          <w:rFonts w:ascii="Calibri" w:hAnsi="Calibri" w:cs="Calibri"/>
          <w:i/>
          <w:iCs/>
          <w:color w:val="202020"/>
        </w:rPr>
        <w:t>fewer</w:t>
      </w:r>
      <w:r w:rsidRPr="00040BFE">
        <w:rPr>
          <w:rFonts w:ascii="Calibri" w:hAnsi="Calibri" w:cs="Calibri"/>
          <w:color w:val="202020"/>
        </w:rPr>
        <w:t xml:space="preserve"> fully qualified full time GPs than we did in September 2015.</w:t>
      </w:r>
    </w:p>
    <w:p w14:paraId="68D79B4E"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color w:val="202020"/>
        </w:rPr>
        <w:t xml:space="preserve">The GP Partner workforce </w:t>
      </w:r>
      <w:proofErr w:type="gramStart"/>
      <w:r w:rsidRPr="00040BFE">
        <w:rPr>
          <w:rFonts w:ascii="Calibri" w:hAnsi="Calibri" w:cs="Calibri"/>
          <w:color w:val="202020"/>
        </w:rPr>
        <w:t>in particular has</w:t>
      </w:r>
      <w:proofErr w:type="gramEnd"/>
      <w:r w:rsidRPr="00040BFE">
        <w:rPr>
          <w:rFonts w:ascii="Calibri" w:hAnsi="Calibri" w:cs="Calibri"/>
          <w:color w:val="202020"/>
        </w:rPr>
        <w:t xml:space="preserve"> been shrinking rapidly since 2015. There were 16,386 FTE GP partners in August 2023 but 15,925 in August 2024: a total loss of 461 FTE GP partners in the past 12 months alone. </w:t>
      </w:r>
    </w:p>
    <w:p w14:paraId="326DFF2A"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color w:val="202020"/>
          <w:lang w:val="en-US"/>
        </w:rPr>
        <w:t xml:space="preserve">Including GP registrars, there were a total of 38,461 FTE doctors working in general practice in August 2024, an increase of 1,498 FTE from July 2024. This increase includes an additional 1,353 FTE GP registrars from the previous month. </w:t>
      </w:r>
    </w:p>
    <w:p w14:paraId="40E2C374"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color w:val="202020"/>
        </w:rPr>
        <w:t>The number of GP practices in England has decreased by 89 over the past year – reflecting a long-term trend of closures and mergers. </w:t>
      </w:r>
    </w:p>
    <w:p w14:paraId="567100C5"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color w:val="202020"/>
        </w:rPr>
        <w:t>This fall in both GP numbers and practices coincides with a rise in patients: as of August 2024, there was another record-high of 63.47 million patients registered with practices in England – an average of 10,139 patients registered per practice. </w:t>
      </w:r>
    </w:p>
    <w:p w14:paraId="48377848" w14:textId="77777777" w:rsidR="00040BFE" w:rsidRP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color w:val="202020"/>
        </w:rPr>
        <w:t>As a result, each full-time equivalent GP is now responsible for an average of 2,282 patients. This is an increase of 345 patients per GP, or about 18%, since 2015.   </w:t>
      </w:r>
    </w:p>
    <w:p w14:paraId="5860B05C" w14:textId="77777777" w:rsidR="00040BFE" w:rsidRDefault="00040BFE" w:rsidP="00040B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i/>
          <w:iCs/>
          <w:color w:val="202020"/>
        </w:rPr>
      </w:pPr>
    </w:p>
    <w:p w14:paraId="4F12A767" w14:textId="1DD57E96" w:rsidR="00980077" w:rsidRPr="006F55EB" w:rsidRDefault="00040BFE" w:rsidP="006F55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lang w:val="en-US"/>
        </w:rPr>
      </w:pPr>
      <w:r w:rsidRPr="00040BFE">
        <w:rPr>
          <w:rFonts w:ascii="Calibri" w:hAnsi="Calibri" w:cs="Calibri"/>
          <w:b/>
          <w:bCs/>
          <w:i/>
          <w:iCs/>
          <w:color w:val="202020"/>
        </w:rPr>
        <w:t xml:space="preserve">Please note that the fully qualified full-time equivalent GP statistic is the sum of partners, salaried, retainers, and locums only – GP trainees are not </w:t>
      </w:r>
      <w:proofErr w:type="gramStart"/>
      <w:r w:rsidRPr="00040BFE">
        <w:rPr>
          <w:rFonts w:ascii="Calibri" w:hAnsi="Calibri" w:cs="Calibri"/>
          <w:b/>
          <w:bCs/>
          <w:i/>
          <w:iCs/>
          <w:color w:val="202020"/>
        </w:rPr>
        <w:t>include</w:t>
      </w:r>
      <w:proofErr w:type="gramEnd"/>
    </w:p>
    <w:p w14:paraId="475A6565" w14:textId="77777777" w:rsidR="00D614E2" w:rsidRDefault="00D614E2" w:rsidP="0070730E">
      <w:pPr>
        <w:spacing w:after="0"/>
        <w:textAlignment w:val="baseline"/>
        <w:rPr>
          <w:rFonts w:ascii="Calibri" w:hAnsi="Calibri" w:cs="Calibri"/>
          <w:color w:val="202020"/>
        </w:rPr>
      </w:pPr>
    </w:p>
    <w:p w14:paraId="514B6A57" w14:textId="77777777" w:rsidR="00D614E2" w:rsidRDefault="00D614E2" w:rsidP="0070730E">
      <w:pPr>
        <w:spacing w:after="0"/>
        <w:textAlignment w:val="baseline"/>
        <w:rPr>
          <w:rFonts w:ascii="Calibri" w:hAnsi="Calibri" w:cs="Calibri"/>
          <w:color w:val="202020"/>
        </w:rPr>
      </w:pPr>
    </w:p>
    <w:p w14:paraId="7C044C61" w14:textId="77777777" w:rsidR="00867348" w:rsidRDefault="00867348" w:rsidP="0070730E">
      <w:pPr>
        <w:spacing w:after="0"/>
        <w:textAlignment w:val="baseline"/>
        <w:rPr>
          <w:rFonts w:ascii="Calibri" w:hAnsi="Calibri" w:cs="Calibri"/>
          <w:color w:val="202020"/>
        </w:rPr>
      </w:pPr>
    </w:p>
    <w:p w14:paraId="4B23C409" w14:textId="77777777" w:rsidR="00867348" w:rsidRDefault="00867348" w:rsidP="0070730E">
      <w:pPr>
        <w:spacing w:after="0"/>
        <w:textAlignment w:val="baseline"/>
        <w:rPr>
          <w:rFonts w:ascii="Calibri" w:hAnsi="Calibri" w:cs="Calibri"/>
          <w:color w:val="202020"/>
        </w:rPr>
      </w:pPr>
    </w:p>
    <w:p w14:paraId="2CC29849" w14:textId="77777777" w:rsidR="00867348" w:rsidRDefault="00867348" w:rsidP="0070730E">
      <w:pPr>
        <w:spacing w:after="0"/>
        <w:textAlignment w:val="baseline"/>
        <w:rPr>
          <w:rFonts w:ascii="Calibri" w:hAnsi="Calibri" w:cs="Calibri"/>
          <w:color w:val="202020"/>
        </w:rPr>
      </w:pPr>
    </w:p>
    <w:p w14:paraId="30C24059" w14:textId="77777777" w:rsidR="00867348" w:rsidRDefault="00867348" w:rsidP="0070730E">
      <w:pPr>
        <w:spacing w:after="0"/>
        <w:textAlignment w:val="baseline"/>
        <w:rPr>
          <w:rFonts w:ascii="Calibri" w:hAnsi="Calibri" w:cs="Calibri"/>
          <w:color w:val="202020"/>
        </w:rPr>
      </w:pPr>
    </w:p>
    <w:p w14:paraId="44A6E5C2" w14:textId="77777777" w:rsidR="00867348" w:rsidRDefault="00867348" w:rsidP="0070730E">
      <w:pPr>
        <w:spacing w:after="0"/>
        <w:textAlignment w:val="baseline"/>
        <w:rPr>
          <w:rFonts w:ascii="Calibri" w:hAnsi="Calibri" w:cs="Calibri"/>
          <w:color w:val="202020"/>
        </w:rPr>
      </w:pPr>
    </w:p>
    <w:p w14:paraId="2945F751" w14:textId="77777777" w:rsidR="00867348" w:rsidRDefault="00867348" w:rsidP="0070730E">
      <w:pPr>
        <w:spacing w:after="0"/>
        <w:textAlignment w:val="baseline"/>
        <w:rPr>
          <w:rFonts w:ascii="Calibri" w:hAnsi="Calibri" w:cs="Calibri"/>
          <w:color w:val="202020"/>
        </w:rPr>
      </w:pPr>
    </w:p>
    <w:p w14:paraId="00A3FEA6" w14:textId="77777777" w:rsidR="00867348" w:rsidRDefault="00867348" w:rsidP="0070730E">
      <w:pPr>
        <w:spacing w:after="0"/>
        <w:textAlignment w:val="baseline"/>
        <w:rPr>
          <w:rFonts w:ascii="Calibri" w:hAnsi="Calibri" w:cs="Calibri"/>
          <w:color w:val="202020"/>
        </w:rPr>
      </w:pPr>
    </w:p>
    <w:p w14:paraId="1E3F7E1C" w14:textId="77777777" w:rsidR="00867348" w:rsidRDefault="00867348" w:rsidP="0070730E">
      <w:pPr>
        <w:spacing w:after="0"/>
        <w:textAlignment w:val="baseline"/>
        <w:rPr>
          <w:rFonts w:ascii="Calibri" w:hAnsi="Calibri" w:cs="Calibri"/>
          <w:color w:val="202020"/>
        </w:rPr>
      </w:pPr>
    </w:p>
    <w:p w14:paraId="3D63BDD9" w14:textId="77777777" w:rsidR="00867348" w:rsidRDefault="00867348" w:rsidP="0070730E">
      <w:pPr>
        <w:spacing w:after="0"/>
        <w:textAlignment w:val="baseline"/>
        <w:rPr>
          <w:rFonts w:ascii="Calibri" w:hAnsi="Calibri" w:cs="Calibri"/>
          <w:color w:val="202020"/>
        </w:rPr>
      </w:pPr>
      <w:bookmarkStart w:id="9" w:name="NU10"/>
    </w:p>
    <w:p w14:paraId="0EC48ACA" w14:textId="77777777" w:rsidR="00867348" w:rsidRDefault="00867348" w:rsidP="0070730E">
      <w:pPr>
        <w:spacing w:after="0"/>
        <w:textAlignment w:val="baseline"/>
        <w:rPr>
          <w:rFonts w:ascii="Calibri" w:hAnsi="Calibri" w:cs="Calibri"/>
          <w:color w:val="202020"/>
        </w:rPr>
      </w:pPr>
    </w:p>
    <w:p w14:paraId="04AC4600" w14:textId="045A3819" w:rsidR="00867348" w:rsidRDefault="00E61291" w:rsidP="00E6129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10.</w:t>
      </w:r>
      <w:r w:rsidRPr="00E61291">
        <w:rPr>
          <w:rFonts w:ascii="Calibri" w:hAnsi="Calibri" w:cs="Calibri"/>
          <w:b/>
          <w:bCs/>
          <w:color w:val="202020"/>
        </w:rPr>
        <w:t>New improvements to referrals – general practice to community pharmacy</w:t>
      </w:r>
      <w:bookmarkEnd w:id="9"/>
      <w:r w:rsidRPr="00E61291">
        <w:rPr>
          <w:rFonts w:ascii="Calibri" w:hAnsi="Calibri" w:cs="Calibri"/>
          <w:color w:val="202020"/>
        </w:rPr>
        <w:br/>
      </w:r>
      <w:r w:rsidRPr="00E61291">
        <w:rPr>
          <w:rFonts w:ascii="Calibri" w:hAnsi="Calibri" w:cs="Calibri"/>
          <w:color w:val="202020"/>
        </w:rPr>
        <w:br/>
        <w:t>General practice and community pharmacy clinical IT systems are now assured to a new consistent standard for referrals. This ‘</w:t>
      </w:r>
      <w:hyperlink r:id="rId29" w:history="1">
        <w:r w:rsidRPr="00E61291">
          <w:rPr>
            <w:rStyle w:val="Hyperlink"/>
            <w:rFonts w:ascii="Calibri" w:hAnsi="Calibri" w:cs="Calibri"/>
          </w:rPr>
          <w:t>referral standard</w:t>
        </w:r>
      </w:hyperlink>
      <w:r w:rsidRPr="00E61291">
        <w:rPr>
          <w:rFonts w:ascii="Calibri" w:hAnsi="Calibri" w:cs="Calibri"/>
          <w:color w:val="202020"/>
        </w:rPr>
        <w:t>’ ensures patient information is sent from general practice to community pharmacy in a clinically safe and standardised format for ongoing patient care.</w:t>
      </w:r>
    </w:p>
    <w:p w14:paraId="6686F3C2" w14:textId="77777777" w:rsidR="00867348" w:rsidRDefault="00867348" w:rsidP="0070730E">
      <w:pPr>
        <w:spacing w:after="0"/>
        <w:textAlignment w:val="baseline"/>
        <w:rPr>
          <w:rFonts w:ascii="Calibri" w:hAnsi="Calibri" w:cs="Calibri"/>
          <w:color w:val="202020"/>
        </w:rPr>
      </w:pPr>
    </w:p>
    <w:p w14:paraId="2275080E" w14:textId="77777777" w:rsidR="00867348" w:rsidRDefault="00867348" w:rsidP="0070730E">
      <w:pPr>
        <w:spacing w:after="0"/>
        <w:textAlignment w:val="baseline"/>
        <w:rPr>
          <w:rFonts w:ascii="Calibri" w:hAnsi="Calibri" w:cs="Calibri"/>
          <w:color w:val="202020"/>
        </w:rPr>
      </w:pPr>
    </w:p>
    <w:p w14:paraId="33AB6C63" w14:textId="1998BFAC" w:rsidR="00B80B04" w:rsidRDefault="00B80B04" w:rsidP="00B80B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0" w:name="NU11"/>
      <w:r>
        <w:rPr>
          <w:rFonts w:ascii="Calibri" w:hAnsi="Calibri" w:cs="Calibri"/>
          <w:b/>
          <w:bCs/>
          <w:color w:val="202020"/>
        </w:rPr>
        <w:t>11.</w:t>
      </w:r>
      <w:r w:rsidRPr="00B80B04">
        <w:rPr>
          <w:rFonts w:ascii="Calibri" w:hAnsi="Calibri" w:cs="Calibri"/>
          <w:b/>
          <w:bCs/>
          <w:color w:val="202020"/>
        </w:rPr>
        <w:t>PCN DES contract updates</w:t>
      </w:r>
    </w:p>
    <w:bookmarkEnd w:id="10"/>
    <w:p w14:paraId="0C2F8542" w14:textId="77777777" w:rsidR="00B80B04" w:rsidRPr="00B80B04" w:rsidRDefault="00B80B04" w:rsidP="00B80B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087139D" w14:textId="1617FAAA" w:rsidR="00867348" w:rsidRDefault="00B80B04" w:rsidP="00B80B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80B04">
        <w:rPr>
          <w:rFonts w:ascii="Calibri" w:hAnsi="Calibri" w:cs="Calibri"/>
          <w:color w:val="202020"/>
        </w:rPr>
        <w:t xml:space="preserve">NHS England has today published an updated </w:t>
      </w:r>
      <w:hyperlink r:id="rId30" w:history="1">
        <w:r w:rsidRPr="00B80B04">
          <w:rPr>
            <w:rStyle w:val="Hyperlink"/>
            <w:rFonts w:ascii="Calibri" w:hAnsi="Calibri" w:cs="Calibri"/>
          </w:rPr>
          <w:t>Network Contract Directed Enhanced Service (DES) specification 2024/25</w:t>
        </w:r>
      </w:hyperlink>
      <w:r w:rsidRPr="00B80B04">
        <w:rPr>
          <w:rFonts w:ascii="Calibri" w:hAnsi="Calibri" w:cs="Calibri"/>
          <w:color w:val="202020"/>
        </w:rPr>
        <w:t xml:space="preserve"> and </w:t>
      </w:r>
      <w:hyperlink r:id="rId31" w:history="1">
        <w:r w:rsidRPr="00B80B04">
          <w:rPr>
            <w:rStyle w:val="Hyperlink"/>
            <w:rFonts w:ascii="Calibri" w:hAnsi="Calibri" w:cs="Calibri"/>
          </w:rPr>
          <w:t>Part B guidance: non-clinical</w:t>
        </w:r>
      </w:hyperlink>
      <w:r w:rsidRPr="00B80B04">
        <w:rPr>
          <w:rFonts w:ascii="Calibri" w:hAnsi="Calibri" w:cs="Calibri"/>
          <w:color w:val="202020"/>
        </w:rPr>
        <w:t xml:space="preserve">, which take effect from Tuesday 1 October 2024. The </w:t>
      </w:r>
      <w:hyperlink r:id="rId32" w:history="1">
        <w:r w:rsidRPr="00B80B04">
          <w:rPr>
            <w:rStyle w:val="Hyperlink"/>
            <w:rFonts w:ascii="Calibri" w:hAnsi="Calibri" w:cs="Calibri"/>
          </w:rPr>
          <w:t>updated specification</w:t>
        </w:r>
      </w:hyperlink>
      <w:r w:rsidRPr="00B80B04">
        <w:rPr>
          <w:rFonts w:ascii="Calibri" w:hAnsi="Calibri" w:cs="Calibri"/>
          <w:color w:val="202020"/>
        </w:rPr>
        <w:t xml:space="preserve"> includes the addition of general medical practitioners (GMPs) as reimbursable roles (from 1 October 2024) within a new, ring-fenced section of the Additional Roles Reimbursement Scheme (ARRS) in 2024/25 specifically for newly qualified GMPs, the uplifting of the maximum reimbursement amounts per role for existing ARRS roles (from 1 October 2024), and the uplifting of other financial entitlements under the Network Contract DES, backdated to 1 April 2024. The amendments are highlighted in yellow in both documents. </w:t>
      </w:r>
    </w:p>
    <w:p w14:paraId="3A50555D" w14:textId="77777777" w:rsidR="00867348" w:rsidRDefault="00867348" w:rsidP="0070730E">
      <w:pPr>
        <w:spacing w:after="0"/>
        <w:textAlignment w:val="baseline"/>
        <w:rPr>
          <w:rFonts w:ascii="Calibri" w:hAnsi="Calibri" w:cs="Calibri"/>
          <w:color w:val="202020"/>
        </w:rPr>
      </w:pPr>
    </w:p>
    <w:p w14:paraId="74E9E8C8" w14:textId="77777777" w:rsidR="001806D8" w:rsidRDefault="001806D8" w:rsidP="0070730E">
      <w:pPr>
        <w:spacing w:after="0"/>
        <w:textAlignment w:val="baseline"/>
        <w:rPr>
          <w:rFonts w:ascii="Calibri" w:hAnsi="Calibri" w:cs="Calibri"/>
          <w:b/>
          <w:bCs/>
          <w:color w:val="202020"/>
        </w:rPr>
      </w:pPr>
    </w:p>
    <w:p w14:paraId="04BDADD2" w14:textId="77777777" w:rsidR="009A1EDF" w:rsidRDefault="001806D8" w:rsidP="009A1E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1" w:name="NU12"/>
      <w:r>
        <w:rPr>
          <w:rFonts w:ascii="Calibri" w:hAnsi="Calibri" w:cs="Calibri"/>
          <w:b/>
          <w:bCs/>
          <w:color w:val="202020"/>
        </w:rPr>
        <w:t>12.</w:t>
      </w:r>
      <w:r w:rsidRPr="001806D8">
        <w:rPr>
          <w:rFonts w:ascii="Calibri" w:hAnsi="Calibri" w:cs="Calibri"/>
          <w:b/>
          <w:bCs/>
          <w:color w:val="202020"/>
        </w:rPr>
        <w:t>GP registration GMS1 form being phased out</w:t>
      </w:r>
    </w:p>
    <w:bookmarkEnd w:id="11"/>
    <w:p w14:paraId="5F76CB44" w14:textId="77777777" w:rsidR="009A1EDF" w:rsidRDefault="009A1EDF" w:rsidP="009A1E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6539D4E5" w14:textId="77777777" w:rsidR="00CB7294" w:rsidRDefault="001806D8" w:rsidP="009A1E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806D8">
        <w:rPr>
          <w:rFonts w:ascii="Calibri" w:hAnsi="Calibri" w:cs="Calibri"/>
          <w:color w:val="202020"/>
        </w:rPr>
        <w:t>‘Register for a GP surgery’ is a free service for GP practices across England which simplifies online patient registrations. All GP surgeries in England must offer the national service from 31 October 2024.</w:t>
      </w:r>
    </w:p>
    <w:p w14:paraId="58F318B9" w14:textId="77777777" w:rsidR="00CB7294" w:rsidRDefault="00CB7294" w:rsidP="009A1E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E7E6555" w14:textId="76A95371" w:rsidR="00867348" w:rsidRDefault="001806D8" w:rsidP="009A1E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806D8">
        <w:rPr>
          <w:rFonts w:ascii="Calibri" w:hAnsi="Calibri" w:cs="Calibri"/>
          <w:color w:val="202020"/>
        </w:rPr>
        <w:t xml:space="preserve">As part of this change, the GMS1 form will be phased out and replaced with a </w:t>
      </w:r>
      <w:hyperlink r:id="rId33" w:history="1">
        <w:r w:rsidRPr="001806D8">
          <w:rPr>
            <w:rStyle w:val="Hyperlink"/>
            <w:rFonts w:ascii="Calibri" w:hAnsi="Calibri" w:cs="Calibri"/>
          </w:rPr>
          <w:t>new paper registration form (PRF1)</w:t>
        </w:r>
      </w:hyperlink>
      <w:r w:rsidRPr="001806D8">
        <w:rPr>
          <w:rFonts w:ascii="Calibri" w:hAnsi="Calibri" w:cs="Calibri"/>
          <w:color w:val="202020"/>
        </w:rPr>
        <w:t xml:space="preserve"> for those patients who are not able to register using the new digital service. The PRF1 reflects the new online registration form that has been developed. The GMS1 form will not be available to order from the PCSE website from 31 October 2024. For those practices still to enrol in  the online registration service, information is available on the </w:t>
      </w:r>
      <w:hyperlink r:id="rId34" w:history="1">
        <w:r w:rsidRPr="001806D8">
          <w:rPr>
            <w:rStyle w:val="Hyperlink"/>
            <w:rFonts w:ascii="Calibri" w:hAnsi="Calibri" w:cs="Calibri"/>
          </w:rPr>
          <w:t>Register with a GP surgery service web page</w:t>
        </w:r>
      </w:hyperlink>
      <w:r w:rsidRPr="001806D8">
        <w:rPr>
          <w:rFonts w:ascii="Calibri" w:hAnsi="Calibri" w:cs="Calibri"/>
          <w:color w:val="202020"/>
        </w:rPr>
        <w:t>.</w:t>
      </w:r>
      <w:r w:rsidRPr="001806D8">
        <w:rPr>
          <w:rFonts w:ascii="Calibri" w:hAnsi="Calibri" w:cs="Calibri"/>
          <w:color w:val="202020"/>
        </w:rPr>
        <w:br/>
      </w:r>
    </w:p>
    <w:p w14:paraId="2F9F8BE6" w14:textId="77777777" w:rsidR="00867348" w:rsidRDefault="00867348" w:rsidP="0070730E">
      <w:pPr>
        <w:spacing w:after="0"/>
        <w:textAlignment w:val="baseline"/>
        <w:rPr>
          <w:rFonts w:ascii="Calibri" w:hAnsi="Calibri" w:cs="Calibri"/>
          <w:color w:val="202020"/>
        </w:rPr>
      </w:pPr>
    </w:p>
    <w:p w14:paraId="49AAF4F0" w14:textId="77777777" w:rsidR="00C6549E" w:rsidRDefault="00C6549E" w:rsidP="0070730E">
      <w:pPr>
        <w:spacing w:after="0"/>
        <w:textAlignment w:val="baseline"/>
        <w:rPr>
          <w:rFonts w:ascii="Calibri" w:hAnsi="Calibri" w:cs="Calibri"/>
          <w:color w:val="202020"/>
        </w:rPr>
      </w:pPr>
    </w:p>
    <w:p w14:paraId="290FC575" w14:textId="77777777" w:rsidR="00C6549E" w:rsidRDefault="00C6549E" w:rsidP="0070730E">
      <w:pPr>
        <w:spacing w:after="0"/>
        <w:textAlignment w:val="baseline"/>
        <w:rPr>
          <w:rFonts w:ascii="Calibri" w:hAnsi="Calibri" w:cs="Calibri"/>
          <w:color w:val="202020"/>
        </w:rPr>
      </w:pPr>
    </w:p>
    <w:p w14:paraId="540F4DD0" w14:textId="77777777" w:rsidR="00C6549E" w:rsidRDefault="00C6549E" w:rsidP="0070730E">
      <w:pPr>
        <w:spacing w:after="0"/>
        <w:textAlignment w:val="baseline"/>
        <w:rPr>
          <w:rFonts w:ascii="Calibri" w:hAnsi="Calibri" w:cs="Calibri"/>
          <w:color w:val="202020"/>
        </w:rPr>
      </w:pPr>
    </w:p>
    <w:p w14:paraId="43583435" w14:textId="77777777" w:rsidR="00C6549E" w:rsidRDefault="00C6549E" w:rsidP="0070730E">
      <w:pPr>
        <w:spacing w:after="0"/>
        <w:textAlignment w:val="baseline"/>
        <w:rPr>
          <w:rFonts w:ascii="Calibri" w:hAnsi="Calibri" w:cs="Calibri"/>
          <w:color w:val="202020"/>
        </w:rPr>
      </w:pPr>
    </w:p>
    <w:p w14:paraId="54256937" w14:textId="77777777" w:rsidR="00C6549E" w:rsidRDefault="00C6549E" w:rsidP="0070730E">
      <w:pPr>
        <w:spacing w:after="0"/>
        <w:textAlignment w:val="baseline"/>
        <w:rPr>
          <w:rFonts w:ascii="Calibri" w:hAnsi="Calibri" w:cs="Calibri"/>
          <w:color w:val="202020"/>
        </w:rPr>
      </w:pPr>
    </w:p>
    <w:p w14:paraId="1B7746B4" w14:textId="77777777" w:rsidR="00C6549E" w:rsidRDefault="00C6549E" w:rsidP="0070730E">
      <w:pPr>
        <w:spacing w:after="0"/>
        <w:textAlignment w:val="baseline"/>
        <w:rPr>
          <w:rFonts w:ascii="Calibri" w:hAnsi="Calibri" w:cs="Calibri"/>
          <w:color w:val="202020"/>
        </w:rPr>
      </w:pPr>
    </w:p>
    <w:p w14:paraId="373F73A1" w14:textId="77777777" w:rsidR="00C6549E" w:rsidRDefault="00C6549E" w:rsidP="0070730E">
      <w:pPr>
        <w:spacing w:after="0"/>
        <w:textAlignment w:val="baseline"/>
        <w:rPr>
          <w:rFonts w:ascii="Calibri" w:hAnsi="Calibri" w:cs="Calibri"/>
          <w:color w:val="202020"/>
        </w:rPr>
      </w:pPr>
    </w:p>
    <w:p w14:paraId="79375260" w14:textId="77777777" w:rsidR="00C6549E" w:rsidRPr="0070730E" w:rsidRDefault="00C6549E" w:rsidP="0070730E">
      <w:pPr>
        <w:spacing w:after="0"/>
        <w:textAlignment w:val="baseline"/>
        <w:rPr>
          <w:rFonts w:ascii="Calibri" w:hAnsi="Calibri" w:cs="Calibri"/>
          <w:color w:val="202020"/>
        </w:rPr>
      </w:pPr>
    </w:p>
    <w:p w14:paraId="13A9763D" w14:textId="7AE2CE27" w:rsidR="00D9300D" w:rsidRPr="00B96EA0"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jc w:val="both"/>
        <w:rPr>
          <w:b/>
          <w:bCs/>
        </w:rPr>
      </w:pPr>
      <w:r>
        <w:rPr>
          <w:b/>
          <w:bCs/>
        </w:rPr>
        <w:lastRenderedPageBreak/>
        <w:t xml:space="preserve">Please note our office contact times remain 10:00-16:00 and any queries on the day should be directed to </w:t>
      </w:r>
      <w:hyperlink r:id="rId35"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FE29796" w14:textId="77777777" w:rsidR="001E06C2" w:rsidRDefault="001E06C2" w:rsidP="006F55EB">
      <w:pPr>
        <w:rPr>
          <w:b/>
          <w:bCs/>
          <w:color w:val="FF0000"/>
        </w:rPr>
      </w:pPr>
    </w:p>
    <w:p w14:paraId="0B8C08EB" w14:textId="03B8357A" w:rsidR="00A63AE2"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2B94DFCF"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b/>
          <w:bCs/>
          <w:u w:val="single"/>
        </w:rPr>
      </w:pPr>
      <w:r w:rsidRPr="00A80B28">
        <w:rPr>
          <w:rFonts w:cstheme="minorHAnsi"/>
          <w:b/>
          <w:bCs/>
          <w:u w:val="single"/>
        </w:rPr>
        <w:t>Helpful Links:</w:t>
      </w:r>
    </w:p>
    <w:p w14:paraId="7A825AA2"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6"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7"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b/>
          <w:bCs/>
        </w:rPr>
      </w:pPr>
    </w:p>
    <w:p w14:paraId="5D603244"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8" w:history="1">
        <w:r w:rsidRPr="00C53DB4">
          <w:rPr>
            <w:rStyle w:val="Hyperlink"/>
            <w:rFonts w:cstheme="minorHAnsi"/>
            <w:b/>
            <w:bCs/>
          </w:rPr>
          <w:t>https://www.england.nhs.uk/</w:t>
        </w:r>
      </w:hyperlink>
    </w:p>
    <w:p w14:paraId="5B0D9DAA" w14:textId="7607FD7F" w:rsidR="007241A2"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rPr>
          <w:color w:val="0563C1"/>
          <w:u w:val="single"/>
        </w:rPr>
      </w:pPr>
    </w:p>
    <w:sectPr w:rsidR="007241A2" w:rsidSect="00A40293">
      <w:headerReference w:type="default" r:id="rId39"/>
      <w:footerReference w:type="default" r:id="rId4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78289" w14:textId="77777777" w:rsidR="00D503D0" w:rsidRDefault="00D503D0" w:rsidP="001B4E81">
      <w:pPr>
        <w:spacing w:after="0" w:line="240" w:lineRule="auto"/>
      </w:pPr>
      <w:r>
        <w:separator/>
      </w:r>
    </w:p>
  </w:endnote>
  <w:endnote w:type="continuationSeparator" w:id="0">
    <w:p w14:paraId="01284960" w14:textId="77777777" w:rsidR="00D503D0" w:rsidRDefault="00D503D0" w:rsidP="001B4E81">
      <w:pPr>
        <w:spacing w:after="0" w:line="240" w:lineRule="auto"/>
      </w:pPr>
      <w:r>
        <w:continuationSeparator/>
      </w:r>
    </w:p>
  </w:endnote>
  <w:endnote w:type="continuationNotice" w:id="1">
    <w:p w14:paraId="14B074E9" w14:textId="77777777" w:rsidR="00D503D0" w:rsidRDefault="00D50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7378A" w14:textId="77777777" w:rsidR="00D503D0" w:rsidRDefault="00D503D0" w:rsidP="001B4E81">
      <w:pPr>
        <w:spacing w:after="0" w:line="240" w:lineRule="auto"/>
      </w:pPr>
      <w:r>
        <w:separator/>
      </w:r>
    </w:p>
  </w:footnote>
  <w:footnote w:type="continuationSeparator" w:id="0">
    <w:p w14:paraId="0086C0EC" w14:textId="77777777" w:rsidR="00D503D0" w:rsidRDefault="00D503D0" w:rsidP="001B4E81">
      <w:pPr>
        <w:spacing w:after="0" w:line="240" w:lineRule="auto"/>
      </w:pPr>
      <w:r>
        <w:continuationSeparator/>
      </w:r>
    </w:p>
  </w:footnote>
  <w:footnote w:type="continuationNotice" w:id="1">
    <w:p w14:paraId="43DFF351" w14:textId="77777777" w:rsidR="00D503D0" w:rsidRDefault="00D50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3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59"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66"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69"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2"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2"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60"/>
  </w:num>
  <w:num w:numId="2" w16cid:durableId="1787625626">
    <w:abstractNumId w:val="44"/>
  </w:num>
  <w:num w:numId="3" w16cid:durableId="1540629576">
    <w:abstractNumId w:val="34"/>
  </w:num>
  <w:num w:numId="4" w16cid:durableId="391077826">
    <w:abstractNumId w:val="36"/>
  </w:num>
  <w:num w:numId="5" w16cid:durableId="1341853404">
    <w:abstractNumId w:val="61"/>
  </w:num>
  <w:num w:numId="6" w16cid:durableId="767585139">
    <w:abstractNumId w:val="58"/>
  </w:num>
  <w:num w:numId="7" w16cid:durableId="2041667077">
    <w:abstractNumId w:val="13"/>
  </w:num>
  <w:num w:numId="8" w16cid:durableId="1515000037">
    <w:abstractNumId w:val="16"/>
  </w:num>
  <w:num w:numId="9" w16cid:durableId="872035998">
    <w:abstractNumId w:val="56"/>
  </w:num>
  <w:num w:numId="10" w16cid:durableId="1416436257">
    <w:abstractNumId w:val="13"/>
  </w:num>
  <w:num w:numId="11" w16cid:durableId="808744928">
    <w:abstractNumId w:val="20"/>
  </w:num>
  <w:num w:numId="12" w16cid:durableId="1915429240">
    <w:abstractNumId w:val="21"/>
  </w:num>
  <w:num w:numId="13" w16cid:durableId="1064135678">
    <w:abstractNumId w:val="80"/>
  </w:num>
  <w:num w:numId="14" w16cid:durableId="1438673690">
    <w:abstractNumId w:val="50"/>
  </w:num>
  <w:num w:numId="15" w16cid:durableId="13108668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9"/>
  </w:num>
  <w:num w:numId="17" w16cid:durableId="199755223">
    <w:abstractNumId w:val="38"/>
  </w:num>
  <w:num w:numId="18" w16cid:durableId="217059276">
    <w:abstractNumId w:val="25"/>
  </w:num>
  <w:num w:numId="19" w16cid:durableId="61373668">
    <w:abstractNumId w:val="24"/>
  </w:num>
  <w:num w:numId="20" w16cid:durableId="1882671202">
    <w:abstractNumId w:val="35"/>
  </w:num>
  <w:num w:numId="21" w16cid:durableId="1817532173">
    <w:abstractNumId w:val="31"/>
  </w:num>
  <w:num w:numId="22" w16cid:durableId="137655963">
    <w:abstractNumId w:val="79"/>
  </w:num>
  <w:num w:numId="23" w16cid:durableId="1401640374">
    <w:abstractNumId w:val="49"/>
  </w:num>
  <w:num w:numId="24" w16cid:durableId="1580678170">
    <w:abstractNumId w:val="77"/>
  </w:num>
  <w:num w:numId="25" w16cid:durableId="1695958751">
    <w:abstractNumId w:val="15"/>
  </w:num>
  <w:num w:numId="26" w16cid:durableId="4662469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2"/>
  </w:num>
  <w:num w:numId="28" w16cid:durableId="1404527918">
    <w:abstractNumId w:val="19"/>
  </w:num>
  <w:num w:numId="29" w16cid:durableId="1478451548">
    <w:abstractNumId w:val="53"/>
  </w:num>
  <w:num w:numId="30" w16cid:durableId="1055156669">
    <w:abstractNumId w:val="54"/>
  </w:num>
  <w:num w:numId="31" w16cid:durableId="1425298004">
    <w:abstractNumId w:val="33"/>
  </w:num>
  <w:num w:numId="32" w16cid:durableId="165443091">
    <w:abstractNumId w:val="73"/>
  </w:num>
  <w:num w:numId="33" w16cid:durableId="1729301968">
    <w:abstractNumId w:val="27"/>
  </w:num>
  <w:num w:numId="34" w16cid:durableId="1719234154">
    <w:abstractNumId w:val="37"/>
  </w:num>
  <w:num w:numId="35" w16cid:durableId="1182353712">
    <w:abstractNumId w:val="65"/>
  </w:num>
  <w:num w:numId="36" w16cid:durableId="215774871">
    <w:abstractNumId w:val="41"/>
  </w:num>
  <w:num w:numId="37" w16cid:durableId="11581096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48"/>
  </w:num>
  <w:num w:numId="39" w16cid:durableId="1107191438">
    <w:abstractNumId w:val="14"/>
  </w:num>
  <w:num w:numId="40" w16cid:durableId="9091939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51"/>
  </w:num>
  <w:num w:numId="46" w16cid:durableId="1190991610">
    <w:abstractNumId w:val="22"/>
  </w:num>
  <w:num w:numId="47" w16cid:durableId="107241670">
    <w:abstractNumId w:val="76"/>
  </w:num>
  <w:num w:numId="48" w16cid:durableId="1845972573">
    <w:abstractNumId w:val="84"/>
  </w:num>
  <w:num w:numId="49" w16cid:durableId="257447362">
    <w:abstractNumId w:val="74"/>
  </w:num>
  <w:num w:numId="50" w16cid:durableId="1163740367">
    <w:abstractNumId w:val="5"/>
  </w:num>
  <w:num w:numId="51" w16cid:durableId="1731033538">
    <w:abstractNumId w:val="59"/>
  </w:num>
  <w:num w:numId="52" w16cid:durableId="260794314">
    <w:abstractNumId w:val="6"/>
  </w:num>
  <w:num w:numId="53" w16cid:durableId="550267285">
    <w:abstractNumId w:val="42"/>
  </w:num>
  <w:num w:numId="54" w16cid:durableId="1441409181">
    <w:abstractNumId w:val="23"/>
  </w:num>
  <w:num w:numId="55" w16cid:durableId="2046979869">
    <w:abstractNumId w:val="8"/>
  </w:num>
  <w:num w:numId="56" w16cid:durableId="1848131498">
    <w:abstractNumId w:val="18"/>
  </w:num>
  <w:num w:numId="57" w16cid:durableId="222982892">
    <w:abstractNumId w:val="32"/>
  </w:num>
  <w:num w:numId="58" w16cid:durableId="1257789084">
    <w:abstractNumId w:val="70"/>
  </w:num>
  <w:num w:numId="59" w16cid:durableId="2023433351">
    <w:abstractNumId w:val="3"/>
  </w:num>
  <w:num w:numId="60" w16cid:durableId="1233393240">
    <w:abstractNumId w:val="28"/>
  </w:num>
  <w:num w:numId="61" w16cid:durableId="355810597">
    <w:abstractNumId w:val="67"/>
  </w:num>
  <w:num w:numId="62" w16cid:durableId="1428696261">
    <w:abstractNumId w:val="26"/>
  </w:num>
  <w:num w:numId="63" w16cid:durableId="1085541508">
    <w:abstractNumId w:val="2"/>
  </w:num>
  <w:num w:numId="64" w16cid:durableId="82922419">
    <w:abstractNumId w:val="11"/>
  </w:num>
  <w:num w:numId="65" w16cid:durableId="1224633004">
    <w:abstractNumId w:val="62"/>
  </w:num>
  <w:num w:numId="66" w16cid:durableId="1604414774">
    <w:abstractNumId w:val="81"/>
  </w:num>
  <w:num w:numId="67" w16cid:durableId="1182088593">
    <w:abstractNumId w:val="47"/>
  </w:num>
  <w:num w:numId="68" w16cid:durableId="495415082">
    <w:abstractNumId w:val="69"/>
  </w:num>
  <w:num w:numId="69" w16cid:durableId="2015719250">
    <w:abstractNumId w:val="82"/>
  </w:num>
  <w:num w:numId="70" w16cid:durableId="2126192390">
    <w:abstractNumId w:val="78"/>
  </w:num>
  <w:num w:numId="71" w16cid:durableId="1602495497">
    <w:abstractNumId w:val="7"/>
  </w:num>
  <w:num w:numId="72" w16cid:durableId="2127771182">
    <w:abstractNumId w:val="40"/>
  </w:num>
  <w:num w:numId="73" w16cid:durableId="1863396066">
    <w:abstractNumId w:val="66"/>
  </w:num>
  <w:num w:numId="74" w16cid:durableId="26101823">
    <w:abstractNumId w:val="39"/>
  </w:num>
  <w:num w:numId="75" w16cid:durableId="865212412">
    <w:abstractNumId w:val="43"/>
  </w:num>
  <w:num w:numId="76" w16cid:durableId="1637105321">
    <w:abstractNumId w:val="4"/>
  </w:num>
  <w:num w:numId="77" w16cid:durableId="624392270">
    <w:abstractNumId w:val="1"/>
  </w:num>
  <w:num w:numId="78" w16cid:durableId="920675426">
    <w:abstractNumId w:val="83"/>
  </w:num>
  <w:num w:numId="79" w16cid:durableId="1631593107">
    <w:abstractNumId w:val="17"/>
  </w:num>
  <w:num w:numId="80" w16cid:durableId="675810403">
    <w:abstractNumId w:val="83"/>
  </w:num>
  <w:num w:numId="81" w16cid:durableId="1234971073">
    <w:abstractNumId w:val="45"/>
  </w:num>
  <w:num w:numId="82" w16cid:durableId="1437217206">
    <w:abstractNumId w:val="72"/>
  </w:num>
  <w:num w:numId="83" w16cid:durableId="1475566900">
    <w:abstractNumId w:val="10"/>
  </w:num>
  <w:num w:numId="84" w16cid:durableId="373192872">
    <w:abstractNumId w:val="46"/>
  </w:num>
  <w:num w:numId="85" w16cid:durableId="871572710">
    <w:abstractNumId w:val="68"/>
  </w:num>
  <w:num w:numId="86" w16cid:durableId="1914117384">
    <w:abstractNumId w:val="30"/>
  </w:num>
  <w:num w:numId="87" w16cid:durableId="924344141">
    <w:abstractNumId w:val="5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2F8"/>
    <w:rsid w:val="000306B5"/>
    <w:rsid w:val="00032351"/>
    <w:rsid w:val="00033A75"/>
    <w:rsid w:val="00034045"/>
    <w:rsid w:val="0003465C"/>
    <w:rsid w:val="00034836"/>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9084C"/>
    <w:rsid w:val="00091E0F"/>
    <w:rsid w:val="00093F94"/>
    <w:rsid w:val="0009540A"/>
    <w:rsid w:val="00095426"/>
    <w:rsid w:val="000A058D"/>
    <w:rsid w:val="000A0C59"/>
    <w:rsid w:val="000A0E4D"/>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41F3"/>
    <w:rsid w:val="000F48CE"/>
    <w:rsid w:val="000F5568"/>
    <w:rsid w:val="001003AD"/>
    <w:rsid w:val="00100A92"/>
    <w:rsid w:val="00100D3B"/>
    <w:rsid w:val="001028EF"/>
    <w:rsid w:val="00102F12"/>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A25"/>
    <w:rsid w:val="00175B1F"/>
    <w:rsid w:val="00176F8C"/>
    <w:rsid w:val="001771E3"/>
    <w:rsid w:val="00177616"/>
    <w:rsid w:val="00177735"/>
    <w:rsid w:val="00177887"/>
    <w:rsid w:val="00177EAB"/>
    <w:rsid w:val="001806D8"/>
    <w:rsid w:val="00180AB9"/>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6B4F"/>
    <w:rsid w:val="001D6F34"/>
    <w:rsid w:val="001E06C2"/>
    <w:rsid w:val="001E2D99"/>
    <w:rsid w:val="001E3845"/>
    <w:rsid w:val="001E3C51"/>
    <w:rsid w:val="001E45D2"/>
    <w:rsid w:val="001E591B"/>
    <w:rsid w:val="001E764F"/>
    <w:rsid w:val="001F3453"/>
    <w:rsid w:val="001F424B"/>
    <w:rsid w:val="001F50DA"/>
    <w:rsid w:val="001F53C4"/>
    <w:rsid w:val="001F5C20"/>
    <w:rsid w:val="001F64D2"/>
    <w:rsid w:val="00200440"/>
    <w:rsid w:val="00202A69"/>
    <w:rsid w:val="002043E5"/>
    <w:rsid w:val="00204541"/>
    <w:rsid w:val="00204C60"/>
    <w:rsid w:val="002056A8"/>
    <w:rsid w:val="00206248"/>
    <w:rsid w:val="002066D4"/>
    <w:rsid w:val="002074B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808"/>
    <w:rsid w:val="00274B8A"/>
    <w:rsid w:val="002754DC"/>
    <w:rsid w:val="0027622F"/>
    <w:rsid w:val="00276D77"/>
    <w:rsid w:val="002774BF"/>
    <w:rsid w:val="00280C3C"/>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F4D"/>
    <w:rsid w:val="002B554E"/>
    <w:rsid w:val="002B78B2"/>
    <w:rsid w:val="002B7D9D"/>
    <w:rsid w:val="002C0A6D"/>
    <w:rsid w:val="002C1984"/>
    <w:rsid w:val="002C36DA"/>
    <w:rsid w:val="002C420D"/>
    <w:rsid w:val="002C5602"/>
    <w:rsid w:val="002C63F4"/>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4DC"/>
    <w:rsid w:val="003165E8"/>
    <w:rsid w:val="00316F24"/>
    <w:rsid w:val="00321E33"/>
    <w:rsid w:val="00322467"/>
    <w:rsid w:val="00322833"/>
    <w:rsid w:val="0032317A"/>
    <w:rsid w:val="00325069"/>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47FB"/>
    <w:rsid w:val="003D7449"/>
    <w:rsid w:val="003E06E6"/>
    <w:rsid w:val="003E1832"/>
    <w:rsid w:val="003E298C"/>
    <w:rsid w:val="003E2F4B"/>
    <w:rsid w:val="003E4A49"/>
    <w:rsid w:val="003E5987"/>
    <w:rsid w:val="003E6828"/>
    <w:rsid w:val="003E6CAB"/>
    <w:rsid w:val="003F0558"/>
    <w:rsid w:val="003F0D84"/>
    <w:rsid w:val="003F1DC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92A"/>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4B25"/>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1F0"/>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25F0"/>
    <w:rsid w:val="005C3370"/>
    <w:rsid w:val="005C58CB"/>
    <w:rsid w:val="005C61CB"/>
    <w:rsid w:val="005C76A0"/>
    <w:rsid w:val="005C7FC3"/>
    <w:rsid w:val="005D1ED0"/>
    <w:rsid w:val="005D1F79"/>
    <w:rsid w:val="005D2F4B"/>
    <w:rsid w:val="005D3258"/>
    <w:rsid w:val="005D4F93"/>
    <w:rsid w:val="005D5916"/>
    <w:rsid w:val="005D67FE"/>
    <w:rsid w:val="005D79D8"/>
    <w:rsid w:val="005E0602"/>
    <w:rsid w:val="005E09B2"/>
    <w:rsid w:val="005E0C9D"/>
    <w:rsid w:val="005E0EA4"/>
    <w:rsid w:val="005E5AFA"/>
    <w:rsid w:val="005E5C12"/>
    <w:rsid w:val="005E5E96"/>
    <w:rsid w:val="005E602C"/>
    <w:rsid w:val="005E7607"/>
    <w:rsid w:val="005F3AC2"/>
    <w:rsid w:val="005F4010"/>
    <w:rsid w:val="005F40DE"/>
    <w:rsid w:val="005F498C"/>
    <w:rsid w:val="005F4CBE"/>
    <w:rsid w:val="005F5155"/>
    <w:rsid w:val="005F6A2D"/>
    <w:rsid w:val="005F6DCD"/>
    <w:rsid w:val="006004EA"/>
    <w:rsid w:val="00602044"/>
    <w:rsid w:val="006038A0"/>
    <w:rsid w:val="00605AB7"/>
    <w:rsid w:val="00605E2D"/>
    <w:rsid w:val="00606AF5"/>
    <w:rsid w:val="00610193"/>
    <w:rsid w:val="00610206"/>
    <w:rsid w:val="00610E0D"/>
    <w:rsid w:val="0061116B"/>
    <w:rsid w:val="006120F5"/>
    <w:rsid w:val="00612E52"/>
    <w:rsid w:val="00613760"/>
    <w:rsid w:val="0061448B"/>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65B1"/>
    <w:rsid w:val="006A76EE"/>
    <w:rsid w:val="006A77FC"/>
    <w:rsid w:val="006B1303"/>
    <w:rsid w:val="006B14CC"/>
    <w:rsid w:val="006B2619"/>
    <w:rsid w:val="006B335C"/>
    <w:rsid w:val="006B4ECF"/>
    <w:rsid w:val="006B6D81"/>
    <w:rsid w:val="006C0EA9"/>
    <w:rsid w:val="006C1293"/>
    <w:rsid w:val="006C2C80"/>
    <w:rsid w:val="006C321E"/>
    <w:rsid w:val="006C4FD6"/>
    <w:rsid w:val="006C553A"/>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E7A5F"/>
    <w:rsid w:val="006E7ED2"/>
    <w:rsid w:val="006F1C6F"/>
    <w:rsid w:val="006F3C7F"/>
    <w:rsid w:val="006F4F5C"/>
    <w:rsid w:val="006F505B"/>
    <w:rsid w:val="006F55EB"/>
    <w:rsid w:val="006F5666"/>
    <w:rsid w:val="006F6813"/>
    <w:rsid w:val="006F696B"/>
    <w:rsid w:val="0070005B"/>
    <w:rsid w:val="00700D9B"/>
    <w:rsid w:val="00701E18"/>
    <w:rsid w:val="00701E76"/>
    <w:rsid w:val="007045DA"/>
    <w:rsid w:val="007049EA"/>
    <w:rsid w:val="0070730E"/>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80F"/>
    <w:rsid w:val="007B72AC"/>
    <w:rsid w:val="007C1CC2"/>
    <w:rsid w:val="007C2CD5"/>
    <w:rsid w:val="007C56BF"/>
    <w:rsid w:val="007C6047"/>
    <w:rsid w:val="007C6748"/>
    <w:rsid w:val="007C6C9E"/>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329"/>
    <w:rsid w:val="00807ABF"/>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7527"/>
    <w:rsid w:val="0086185C"/>
    <w:rsid w:val="00861B5E"/>
    <w:rsid w:val="00861CA3"/>
    <w:rsid w:val="00862B67"/>
    <w:rsid w:val="00863461"/>
    <w:rsid w:val="00863E94"/>
    <w:rsid w:val="008646B7"/>
    <w:rsid w:val="00864E7C"/>
    <w:rsid w:val="00864EE9"/>
    <w:rsid w:val="00865021"/>
    <w:rsid w:val="0086562F"/>
    <w:rsid w:val="0086642B"/>
    <w:rsid w:val="00867348"/>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3F4"/>
    <w:rsid w:val="008A5B81"/>
    <w:rsid w:val="008A5BBD"/>
    <w:rsid w:val="008A6ACF"/>
    <w:rsid w:val="008A6C3C"/>
    <w:rsid w:val="008A6D8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C1D"/>
    <w:rsid w:val="008F2EC4"/>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1EDF"/>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E2"/>
    <w:rsid w:val="00A14ED4"/>
    <w:rsid w:val="00A158C3"/>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26549"/>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2DD9"/>
    <w:rsid w:val="00A532B6"/>
    <w:rsid w:val="00A537EE"/>
    <w:rsid w:val="00A53889"/>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CDB"/>
    <w:rsid w:val="00AF602A"/>
    <w:rsid w:val="00AF6DEB"/>
    <w:rsid w:val="00AF76CF"/>
    <w:rsid w:val="00AF7E42"/>
    <w:rsid w:val="00B001F7"/>
    <w:rsid w:val="00B00E25"/>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54B"/>
    <w:rsid w:val="00B5660B"/>
    <w:rsid w:val="00B605F6"/>
    <w:rsid w:val="00B702B6"/>
    <w:rsid w:val="00B70ADD"/>
    <w:rsid w:val="00B70CD9"/>
    <w:rsid w:val="00B72A60"/>
    <w:rsid w:val="00B737C7"/>
    <w:rsid w:val="00B73A4B"/>
    <w:rsid w:val="00B745FF"/>
    <w:rsid w:val="00B74D66"/>
    <w:rsid w:val="00B74E57"/>
    <w:rsid w:val="00B7735D"/>
    <w:rsid w:val="00B77549"/>
    <w:rsid w:val="00B80B04"/>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3020"/>
    <w:rsid w:val="00BC4341"/>
    <w:rsid w:val="00BC501C"/>
    <w:rsid w:val="00BC58CC"/>
    <w:rsid w:val="00BC7F53"/>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4D4"/>
    <w:rsid w:val="00C45A32"/>
    <w:rsid w:val="00C46181"/>
    <w:rsid w:val="00C5078C"/>
    <w:rsid w:val="00C5116C"/>
    <w:rsid w:val="00C5152D"/>
    <w:rsid w:val="00C51658"/>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4998"/>
    <w:rsid w:val="00C6549E"/>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491"/>
    <w:rsid w:val="00CB566B"/>
    <w:rsid w:val="00CB61E5"/>
    <w:rsid w:val="00CB6DAD"/>
    <w:rsid w:val="00CB704E"/>
    <w:rsid w:val="00CB7294"/>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623"/>
    <w:rsid w:val="00CF2A13"/>
    <w:rsid w:val="00CF2A1A"/>
    <w:rsid w:val="00CF32EF"/>
    <w:rsid w:val="00CF4A29"/>
    <w:rsid w:val="00CF4D88"/>
    <w:rsid w:val="00CF4E43"/>
    <w:rsid w:val="00CF5251"/>
    <w:rsid w:val="00CF6403"/>
    <w:rsid w:val="00CF6C14"/>
    <w:rsid w:val="00CF7511"/>
    <w:rsid w:val="00CF7AD4"/>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5E5A"/>
    <w:rsid w:val="00D17858"/>
    <w:rsid w:val="00D17ADE"/>
    <w:rsid w:val="00D17DEF"/>
    <w:rsid w:val="00D2036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E48"/>
    <w:rsid w:val="00D47764"/>
    <w:rsid w:val="00D4797B"/>
    <w:rsid w:val="00D503D0"/>
    <w:rsid w:val="00D51A45"/>
    <w:rsid w:val="00D52370"/>
    <w:rsid w:val="00D530F6"/>
    <w:rsid w:val="00D5370C"/>
    <w:rsid w:val="00D54DB9"/>
    <w:rsid w:val="00D5526F"/>
    <w:rsid w:val="00D5549E"/>
    <w:rsid w:val="00D55974"/>
    <w:rsid w:val="00D56035"/>
    <w:rsid w:val="00D60BDA"/>
    <w:rsid w:val="00D614AF"/>
    <w:rsid w:val="00D614E2"/>
    <w:rsid w:val="00D61838"/>
    <w:rsid w:val="00D6212C"/>
    <w:rsid w:val="00D629A3"/>
    <w:rsid w:val="00D62D4D"/>
    <w:rsid w:val="00D63881"/>
    <w:rsid w:val="00D64102"/>
    <w:rsid w:val="00D64B4F"/>
    <w:rsid w:val="00D64FD4"/>
    <w:rsid w:val="00D653CA"/>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48BC"/>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291"/>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354C"/>
    <w:rsid w:val="00EE6841"/>
    <w:rsid w:val="00EE6A85"/>
    <w:rsid w:val="00EE6C78"/>
    <w:rsid w:val="00EE7D3F"/>
    <w:rsid w:val="00EF00CB"/>
    <w:rsid w:val="00EF089B"/>
    <w:rsid w:val="00EF1F97"/>
    <w:rsid w:val="00EF2B62"/>
    <w:rsid w:val="00EF31DF"/>
    <w:rsid w:val="00EF3360"/>
    <w:rsid w:val="00EF55D5"/>
    <w:rsid w:val="00EF6594"/>
    <w:rsid w:val="00EF66EA"/>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0416318">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4819694">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19.com/t/d-l-ekudidt-tluhhdhyld-i/" TargetMode="External"/><Relationship Id="rId18" Type="http://schemas.openxmlformats.org/officeDocument/2006/relationships/hyperlink" Target="https://x.com/BMA_GP/status/1834268347745083549" TargetMode="External"/><Relationship Id="rId26" Type="http://schemas.openxmlformats.org/officeDocument/2006/relationships/hyperlink" Target="https://www.gov.uk/government/publications/review-body-on-doctors-and-dentists-remuneration-52nd-report-2024" TargetMode="External"/><Relationship Id="rId39" Type="http://schemas.openxmlformats.org/officeDocument/2006/relationships/header" Target="header1.xml"/><Relationship Id="rId21" Type="http://schemas.openxmlformats.org/officeDocument/2006/relationships/hyperlink" Target="https://www.bma.org.uk/our-campaigns/gp-campaigns/contracts/gp-contract-202425-changes" TargetMode="External"/><Relationship Id="rId34" Type="http://schemas.openxmlformats.org/officeDocument/2006/relationships/hyperlink" Target="https://primarycarebulletin.cmail20.com/t/d-l-eulduuk-tluhhdhyld-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bma-media-centre/lord-darzis-nhs-review-a-deeply-sobering-assessment-of-a-severely-broken-nhs-says-bma" TargetMode="External"/><Relationship Id="rId20" Type="http://schemas.openxmlformats.org/officeDocument/2006/relationships/hyperlink" Target="https://www.bma.org.uk/media/iszjmkpz/bma-gp-gp-safe-working-guidance-handbook-england.pdf?utm_campaign=348936_19092024%20NEWSLETTER%20GPs%20England%20M&amp;utm_medium=email&amp;utm_source=The%20British%20Medical%20Association%20%28Comms%20Engagment%29&amp;dm_t=0,0,0,0,0" TargetMode="External"/><Relationship Id="rId29" Type="http://schemas.openxmlformats.org/officeDocument/2006/relationships/hyperlink" Target="https://primarycarebulletin.cmail20.com/t/d-l-eulduuk-tluhhdhyld-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19.com/t/d-l-ekudidt-tluhhdhyld-j/" TargetMode="External"/><Relationship Id="rId24" Type="http://schemas.openxmlformats.org/officeDocument/2006/relationships/hyperlink" Target="https://www.gov.uk/government/news/causes-of-death-to-be-scrutinised-in-revamp-of-death-certificates?utm_medium=email&amp;utm_campaign=govuk-notifications-topic&amp;utm_source=bb3d49a6-687a-4746-8142-d84244bc44eb&amp;utm_content=immediately" TargetMode="External"/><Relationship Id="rId32" Type="http://schemas.openxmlformats.org/officeDocument/2006/relationships/hyperlink" Target="https://primarycarebulletin.cmail20.com/t/d-l-eulduuk-tluhhdhyld-p/" TargetMode="External"/><Relationship Id="rId37" Type="http://schemas.openxmlformats.org/officeDocument/2006/relationships/hyperlink" Target="https://www.gov.uk/coronaviru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independent-investigation-of-the-nhs-in-england/summary-letter-from-lord-darzi-to-the-secretary-of-state-for-health-and-social-care" TargetMode="External"/><Relationship Id="rId23" Type="http://schemas.openxmlformats.org/officeDocument/2006/relationships/hyperlink" Target="https://www.bma.org.uk/media/iszjmkpz/bma-gp-gp-safe-working-guidance-handbook-england.pdf" TargetMode="External"/><Relationship Id="rId28" Type="http://schemas.openxmlformats.org/officeDocument/2006/relationships/hyperlink" Target="https://www.bma.org.uk/pay-and-contracts/contracts/gp-contract/gp-contract-202425-imposed-changes-guidance" TargetMode="External"/><Relationship Id="rId36"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https://www.bma.org.uk/our-campaigns/gp-campaigns/contracts/gp-contract-202425-changes" TargetMode="External"/><Relationship Id="rId31" Type="http://schemas.openxmlformats.org/officeDocument/2006/relationships/hyperlink" Target="https://primarycarebulletin.cmail20.com/t/d-l-eulduuk-tluhhdhyld-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ekudidt-tluhhdhyld-d/" TargetMode="External"/><Relationship Id="rId22" Type="http://schemas.openxmlformats.org/officeDocument/2006/relationships/hyperlink" Target="https://www.bma.org.uk/advice-and-support/gp-practices/managing-workload/safe-working-in-general-practice" TargetMode="External"/><Relationship Id="rId27" Type="http://schemas.openxmlformats.org/officeDocument/2006/relationships/hyperlink" Target="https://i.emlfiles4.com/cmpdoc/2/5/8/0/5/3/files/8845_20240920-focus-on-how-the-2024-25-ddrb-pay-award-is-added-to-national-funding-and-distributed.pdf?utm_campaign=348936_19092024%20NEWSLETTER%20GPs%20England%20M&amp;utm_medium=email&amp;utm_source=The%20British%20Medical%20Association%20%28Comms%20Engagment%29&amp;dm_t=0,0,0,0,0" TargetMode="External"/><Relationship Id="rId30" Type="http://schemas.openxmlformats.org/officeDocument/2006/relationships/hyperlink" Target="https://primarycarebulletin.cmail20.com/t/d-l-eulduuk-tluhhdhyld-b/" TargetMode="External"/><Relationship Id="rId35" Type="http://schemas.openxmlformats.org/officeDocument/2006/relationships/hyperlink" Target="mailto:birmingham.lmc@nhs.n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imarycarebulletin.cmail19.com/t/d-l-ekudidt-tluhhdhyld-t/" TargetMode="External"/><Relationship Id="rId17" Type="http://schemas.openxmlformats.org/officeDocument/2006/relationships/hyperlink" Target="https://www.gov.uk/government/speeches/pm-speech-on-the-nhs-12-september-2024" TargetMode="External"/><Relationship Id="rId25" Type="http://schemas.openxmlformats.org/officeDocument/2006/relationships/hyperlink" Target="https://www.bma.org.uk/about-us/contact-us/get-in-touch/contact-us" TargetMode="External"/><Relationship Id="rId33" Type="http://schemas.openxmlformats.org/officeDocument/2006/relationships/hyperlink" Target="https://primarycarebulletin.cmail20.com/t/d-l-eulduuk-tluhhdhyld-x/" TargetMode="External"/><Relationship Id="rId38"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11</cp:revision>
  <dcterms:created xsi:type="dcterms:W3CDTF">2024-09-27T09:30:00Z</dcterms:created>
  <dcterms:modified xsi:type="dcterms:W3CDTF">2024-09-27T09:39:00Z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